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A08E1" w14:textId="77777777" w:rsidR="0003111B" w:rsidRDefault="0003111B"/>
    <w:p w14:paraId="797A08E2" w14:textId="77777777" w:rsidR="0003111B" w:rsidRDefault="00000000">
      <w:pPr>
        <w:jc w:val="center"/>
      </w:pPr>
      <w:r>
        <w:rPr>
          <w:color w:val="666666"/>
          <w:sz w:val="28"/>
          <w:szCs w:val="28"/>
        </w:rPr>
        <w:t>NWCCOG Economic Development District</w:t>
      </w:r>
    </w:p>
    <w:p w14:paraId="797A08E3" w14:textId="77777777" w:rsidR="0003111B" w:rsidRDefault="00000000">
      <w:pPr>
        <w:jc w:val="center"/>
      </w:pPr>
      <w:r>
        <w:rPr>
          <w:b/>
          <w:bCs/>
          <w:color w:val="316472"/>
          <w:sz w:val="64"/>
          <w:szCs w:val="64"/>
        </w:rPr>
        <w:t>Comprehensive Economic</w:t>
      </w:r>
      <w:r>
        <w:rPr>
          <w:b/>
          <w:bCs/>
          <w:color w:val="316472"/>
          <w:sz w:val="64"/>
          <w:szCs w:val="64"/>
        </w:rPr>
        <w:br/>
        <w:t>Development Strategy</w:t>
      </w:r>
    </w:p>
    <w:p w14:paraId="797A08E4" w14:textId="77777777" w:rsidR="0003111B" w:rsidRDefault="00000000">
      <w:pPr>
        <w:jc w:val="center"/>
      </w:pPr>
      <w:r>
        <w:rPr>
          <w:color w:val="1A2E44"/>
          <w:sz w:val="40"/>
          <w:szCs w:val="40"/>
        </w:rPr>
        <w:t>2026–2031 Framework</w:t>
      </w:r>
    </w:p>
    <w:p w14:paraId="797A08E5" w14:textId="77777777" w:rsidR="0003111B" w:rsidRDefault="0003111B"/>
    <w:p w14:paraId="797A08E6" w14:textId="77777777" w:rsidR="0003111B" w:rsidRDefault="00000000">
      <w:pPr>
        <w:jc w:val="center"/>
      </w:pPr>
      <w:r>
        <w:rPr>
          <w:b/>
          <w:bCs/>
          <w:color w:val="E5751F"/>
          <w:sz w:val="26"/>
          <w:szCs w:val="26"/>
        </w:rPr>
        <w:t>WORKING DRAFT v2 — Live Synthesis</w:t>
      </w:r>
    </w:p>
    <w:p w14:paraId="797A08E7" w14:textId="77777777" w:rsidR="0003111B" w:rsidRDefault="00000000">
      <w:pPr>
        <w:jc w:val="center"/>
      </w:pPr>
      <w:r>
        <w:rPr>
          <w:color w:val="666666"/>
        </w:rPr>
        <w:t>NWCCOG Economic Development Summit</w:t>
      </w:r>
      <w:r>
        <w:rPr>
          <w:color w:val="666666"/>
        </w:rPr>
        <w:br/>
        <w:t>Silverthorne, CO — May 7, 2026</w:t>
      </w:r>
    </w:p>
    <w:p w14:paraId="797A08E8" w14:textId="77777777" w:rsidR="0003111B" w:rsidRDefault="00000000">
      <w:pPr>
        <w:jc w:val="center"/>
      </w:pPr>
      <w:r>
        <w:rPr>
          <w:i/>
          <w:iCs/>
          <w:color w:val="999999"/>
        </w:rPr>
        <w:t>Eagle • Grand • Jackson • Pitkin • Summit Counties</w:t>
      </w:r>
    </w:p>
    <w:p w14:paraId="797A08E9" w14:textId="77777777" w:rsidR="0003111B" w:rsidRDefault="00000000">
      <w:pPr>
        <w:jc w:val="center"/>
      </w:pPr>
      <w:r>
        <w:rPr>
          <w:i/>
          <w:iCs/>
          <w:noProof/>
          <w:color w:val="999999"/>
        </w:rPr>
        <w:drawing>
          <wp:inline distT="114300" distB="114300" distL="114300" distR="114300" wp14:anchorId="797A0AFC" wp14:editId="797A0AFD">
            <wp:extent cx="4905693" cy="49056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05693" cy="4905693"/>
                    </a:xfrm>
                    <a:prstGeom prst="rect">
                      <a:avLst/>
                    </a:prstGeom>
                    <a:ln/>
                  </pic:spPr>
                </pic:pic>
              </a:graphicData>
            </a:graphic>
          </wp:inline>
        </w:drawing>
      </w:r>
    </w:p>
    <w:p w14:paraId="797A08EA" w14:textId="77777777" w:rsidR="0003111B" w:rsidRDefault="00000000">
      <w:pPr>
        <w:pStyle w:val="Heading1"/>
      </w:pPr>
      <w:r>
        <w:br w:type="page"/>
      </w:r>
      <w:r>
        <w:lastRenderedPageBreak/>
        <w:t>How This Document Was Built</w:t>
      </w:r>
    </w:p>
    <w:p w14:paraId="797A08EB" w14:textId="77777777" w:rsidR="0003111B" w:rsidRDefault="00000000">
      <w:r>
        <w:t>This document is a live synthesis. It was generated during the May 7, 2026 NWCCOG Economic Development Summit using AI-assisted analysis of three inputs: the morning’s presentations and discussion (State Demographer, Regional Statistical Analysis Project, CareerWise, OEDIT), the expiring 2021–2026 CEDS, and deep research into 15+ peer mountain regions worldwide.</w:t>
      </w:r>
    </w:p>
    <w:p w14:paraId="797A08EC" w14:textId="77777777" w:rsidR="0003111B" w:rsidRDefault="00000000">
      <w:r>
        <w:t>It is not a finished plan. It is a working framework designed to be argued with, edited, and claimed by the people in this room.</w:t>
      </w:r>
    </w:p>
    <w:p w14:paraId="797A08ED" w14:textId="77777777" w:rsidR="0003111B" w:rsidRDefault="00000000">
      <w:pPr>
        <w:pStyle w:val="Heading2"/>
      </w:pPr>
      <w:r>
        <w:t>This Afternoon’s Agenda</w:t>
      </w:r>
    </w:p>
    <w:p w14:paraId="797A08EE" w14:textId="77777777" w:rsidR="0003111B" w:rsidRDefault="00000000">
      <w:r>
        <w:t>The afternoon session has two concurrent tracks running simultaneously:</w:t>
      </w:r>
    </w:p>
    <w:p w14:paraId="797A08EF" w14:textId="77777777" w:rsidR="0003111B" w:rsidRDefault="00000000">
      <w:r>
        <w:rPr>
          <w:b/>
          <w:bCs/>
          <w:color w:val="E5751F"/>
        </w:rPr>
        <w:t xml:space="preserve">Track 1 — Active Panel Discussion: </w:t>
      </w:r>
      <w:r>
        <w:t>The panel will expand and pressure-test the pillars, strategies, and actions below. New themes will be captured in real time and incorporated into the final synthesis.</w:t>
      </w:r>
    </w:p>
    <w:p w14:paraId="797A08F0" w14:textId="77777777" w:rsidR="0003111B" w:rsidRDefault="00000000">
      <w:r>
        <w:rPr>
          <w:b/>
          <w:bCs/>
          <w:color w:val="E5751F"/>
        </w:rPr>
        <w:t xml:space="preserve">Track 2 — Asynchronous Community Comment: </w:t>
      </w:r>
      <w:r>
        <w:t>You have this document open right now. As the panel talks, add your comments directly into this document. Disagree with a strategy. Add an action we missed. Name an owner. Flag something from your community. Your written input carries equal weight to what’s said at the microphone.</w:t>
      </w:r>
    </w:p>
    <w:p w14:paraId="797A08F1" w14:textId="77777777" w:rsidR="0003111B" w:rsidRDefault="00000000">
      <w:r>
        <w:t>At the conclusion of the afternoon, we will synthesize both tracks — the panel discussion and your comments — into a revised draft strategy document. That document becomes the starting point for the formal CEDS development process through September 2026.</w:t>
      </w:r>
    </w:p>
    <w:p w14:paraId="797A08F2" w14:textId="77777777" w:rsidR="0003111B" w:rsidRDefault="00000000">
      <w:r>
        <w:rPr>
          <w:b/>
          <w:bCs/>
          <w:color w:val="1A2E44"/>
        </w:rPr>
        <w:t xml:space="preserve">The goal: </w:t>
      </w:r>
      <w:r>
        <w:t>Leave today with a framework that every community in the region can see themselves in, with strategies that have real owners, and with enough specificity that it unlocks EDA, USDA, and SBA funding for regional projects.</w:t>
      </w:r>
    </w:p>
    <w:p w14:paraId="797A08F3" w14:textId="77777777" w:rsidR="0003111B" w:rsidRDefault="00000000">
      <w:r>
        <w:br w:type="page"/>
      </w:r>
    </w:p>
    <w:p w14:paraId="797A08F4" w14:textId="77777777" w:rsidR="0003111B" w:rsidRDefault="00000000">
      <w:pPr>
        <w:pStyle w:val="Heading1"/>
      </w:pPr>
      <w:r>
        <w:lastRenderedPageBreak/>
        <w:t>What We Heard This Morning</w:t>
      </w:r>
    </w:p>
    <w:p w14:paraId="797A08F5" w14:textId="77777777" w:rsidR="0003111B" w:rsidRDefault="00000000">
      <w:pPr>
        <w:pStyle w:val="Heading2"/>
      </w:pPr>
      <w:r>
        <w:t>State Demographer (Kate Watkins)</w:t>
      </w:r>
    </w:p>
    <w:p w14:paraId="797A08F6" w14:textId="77777777" w:rsidR="0003111B" w:rsidRDefault="00000000">
      <w:r>
        <w:t>The region’s full-time resident population is shrinking. Net migration has been negative for five to six years across the NWCCOG counties — even as it feels more crowded than ever, because tourism and second-home ownership mask the loss. Eagle, Pitkin, and Summit all show net negative domestic migration. Every county in the region has fertility rates below Colorado’s already-below-replacement rate of 1.47 births per woman, except Jackson.</w:t>
      </w:r>
    </w:p>
    <w:p w14:paraId="797A08F7" w14:textId="77777777" w:rsidR="0003111B" w:rsidRDefault="00000000">
      <w:r>
        <w:t>The 80+ population is about to see rapid growth as baby boomers cross that threshold — driving new demand for healthcare, transportation, and assisted living services. School-age population is declining and will continue to. The working-age population (25–54) has been shrinking in this region, unlike the statewide trend, and recovery depends entirely on whether the region can attract and retain 20- and 30-somethings.</w:t>
      </w:r>
    </w:p>
    <w:p w14:paraId="797A08F8" w14:textId="77777777" w:rsidR="0003111B" w:rsidRDefault="00000000">
      <w:r>
        <w:t>Housing affordability is the single biggest constraint on population growth. Colorado’s relative housing costs are suppressing net migration statewide, and the NWCCOG region is among the least affordable in the state. Kate’s alternative scenarios showed that under low net migration assumptions, the state’s working-age population would actually decline in the near term.</w:t>
      </w:r>
    </w:p>
    <w:p w14:paraId="797A08F9" w14:textId="77777777" w:rsidR="0003111B" w:rsidRDefault="00000000">
      <w:r>
        <w:rPr>
          <w:b/>
          <w:bCs/>
          <w:color w:val="1A2E44"/>
        </w:rPr>
        <w:t xml:space="preserve">The question Kate left the room with: </w:t>
      </w:r>
      <w:r>
        <w:rPr>
          <w:i/>
          <w:iCs/>
        </w:rPr>
        <w:t>"How do we grow economies — or rethink growth — when our population or labor force shrinks?"</w:t>
      </w:r>
    </w:p>
    <w:p w14:paraId="797A08FA" w14:textId="77777777" w:rsidR="0003111B" w:rsidRDefault="00000000">
      <w:pPr>
        <w:pStyle w:val="Heading2"/>
      </w:pPr>
      <w:r>
        <w:t>Regional Statistical Analysis (Brian, Carl, and team)</w:t>
      </w:r>
    </w:p>
    <w:p w14:paraId="797A08FB" w14:textId="77777777" w:rsidR="0003111B" w:rsidRDefault="00000000">
      <w:r>
        <w:t>A survey of 100+ community leaders across the region confirmed what Kate’s data showed: the challenges are well understood. Housing, infrastructure, workforce, and fiscal constraints are present and accounted for. The issue is not diagnosis — it’s execution.</w:t>
      </w:r>
    </w:p>
    <w:p w14:paraId="797A08FC" w14:textId="77777777" w:rsidR="0003111B" w:rsidRDefault="00000000">
      <w:r>
        <w:rPr>
          <w:b/>
          <w:bCs/>
          <w:color w:val="1A2E44"/>
        </w:rPr>
        <w:t xml:space="preserve">Carl’s central finding: </w:t>
      </w:r>
      <w:r>
        <w:rPr>
          <w:i/>
          <w:iCs/>
        </w:rPr>
        <w:t>"The limiting factor is not strategy anymore. It’s execution capacity. We’re not lacking for plans. We’re constrained by the ability to implement them with existing staff, funding structures, and time."</w:t>
      </w:r>
    </w:p>
    <w:p w14:paraId="797A08FD" w14:textId="77777777" w:rsidR="0003111B" w:rsidRDefault="00000000">
      <w:r>
        <w:t>Other key findings from the survey:</w:t>
      </w:r>
    </w:p>
    <w:p w14:paraId="797A08FE" w14:textId="77777777" w:rsidR="0003111B" w:rsidRDefault="00000000">
      <w:pPr>
        <w:numPr>
          <w:ilvl w:val="0"/>
          <w:numId w:val="1"/>
        </w:numPr>
        <w:pBdr>
          <w:top w:val="nil"/>
          <w:left w:val="nil"/>
          <w:bottom w:val="nil"/>
          <w:right w:val="nil"/>
          <w:between w:val="nil"/>
        </w:pBdr>
        <w:spacing w:after="0"/>
      </w:pPr>
      <w:r>
        <w:rPr>
          <w:b/>
          <w:bCs/>
        </w:rPr>
        <w:t xml:space="preserve">Capacity crisis, not issues crisis: </w:t>
      </w:r>
      <w:r>
        <w:t>Nobody’s struggling to identify problems. Everyone’s struggling to implement solutions. The same small teams are managing too many initiatives.</w:t>
      </w:r>
    </w:p>
    <w:p w14:paraId="797A08FF" w14:textId="77777777" w:rsidR="0003111B" w:rsidRDefault="00000000">
      <w:pPr>
        <w:numPr>
          <w:ilvl w:val="0"/>
          <w:numId w:val="1"/>
        </w:numPr>
        <w:pBdr>
          <w:top w:val="nil"/>
          <w:left w:val="nil"/>
          <w:bottom w:val="nil"/>
          <w:right w:val="nil"/>
          <w:between w:val="nil"/>
        </w:pBdr>
        <w:spacing w:after="0"/>
      </w:pPr>
      <w:r>
        <w:rPr>
          <w:b/>
          <w:bCs/>
        </w:rPr>
        <w:t xml:space="preserve">Infrastructure built for earlier versions of communities: </w:t>
      </w:r>
      <w:r>
        <w:t>Water treatment, roads, public safety all under strain from both residents and visitors. One town needs a $26M facility on an $18M budget.</w:t>
      </w:r>
    </w:p>
    <w:p w14:paraId="797A0900" w14:textId="77777777" w:rsidR="0003111B" w:rsidRDefault="00000000">
      <w:pPr>
        <w:numPr>
          <w:ilvl w:val="0"/>
          <w:numId w:val="1"/>
        </w:numPr>
        <w:pBdr>
          <w:top w:val="nil"/>
          <w:left w:val="nil"/>
          <w:bottom w:val="nil"/>
          <w:right w:val="nil"/>
          <w:between w:val="nil"/>
        </w:pBdr>
        <w:spacing w:after="0"/>
      </w:pPr>
      <w:r>
        <w:rPr>
          <w:b/>
          <w:bCs/>
        </w:rPr>
        <w:t xml:space="preserve">Regional problems solved locally: </w:t>
      </w:r>
      <w:r>
        <w:t>Housing and workforce challenges operate at a regional scale, but decision-making and funding remain local. This creates uneven approaches and fragmented action.</w:t>
      </w:r>
    </w:p>
    <w:p w14:paraId="797A0901" w14:textId="77777777" w:rsidR="0003111B" w:rsidRDefault="00000000">
      <w:pPr>
        <w:numPr>
          <w:ilvl w:val="0"/>
          <w:numId w:val="1"/>
        </w:numPr>
        <w:pBdr>
          <w:top w:val="nil"/>
          <w:left w:val="nil"/>
          <w:bottom w:val="nil"/>
          <w:right w:val="nil"/>
          <w:between w:val="nil"/>
        </w:pBdr>
        <w:spacing w:after="0"/>
      </w:pPr>
      <w:r>
        <w:rPr>
          <w:b/>
          <w:bCs/>
        </w:rPr>
        <w:t xml:space="preserve">Quality of life declining for 1 in 4 leaders: </w:t>
      </w:r>
      <w:r>
        <w:t>And many residents view new development as a dilution of community identity rather than an improvement.</w:t>
      </w:r>
    </w:p>
    <w:p w14:paraId="797A0902" w14:textId="77777777" w:rsidR="0003111B" w:rsidRDefault="00000000">
      <w:pPr>
        <w:numPr>
          <w:ilvl w:val="0"/>
          <w:numId w:val="1"/>
        </w:numPr>
        <w:pBdr>
          <w:top w:val="nil"/>
          <w:left w:val="nil"/>
          <w:bottom w:val="nil"/>
          <w:right w:val="nil"/>
          <w:between w:val="nil"/>
        </w:pBdr>
        <w:spacing w:after="0"/>
      </w:pPr>
      <w:r>
        <w:rPr>
          <w:b/>
          <w:bCs/>
        </w:rPr>
        <w:lastRenderedPageBreak/>
        <w:t xml:space="preserve">Residents want the balance to shift: </w:t>
      </w:r>
      <w:r>
        <w:t>Survey respondents want communities more focused on residents and less on tourism — but simultaneously won’t pay more taxes for local services if it means fewer visitors.</w:t>
      </w:r>
    </w:p>
    <w:p w14:paraId="797A0903" w14:textId="77777777" w:rsidR="0003111B" w:rsidRDefault="00000000">
      <w:pPr>
        <w:numPr>
          <w:ilvl w:val="0"/>
          <w:numId w:val="1"/>
        </w:numPr>
        <w:pBdr>
          <w:top w:val="nil"/>
          <w:left w:val="nil"/>
          <w:bottom w:val="nil"/>
          <w:right w:val="nil"/>
          <w:between w:val="nil"/>
        </w:pBdr>
      </w:pPr>
      <w:r>
        <w:rPr>
          <w:b/>
          <w:bCs/>
        </w:rPr>
        <w:t xml:space="preserve">Revenue structure is strained: </w:t>
      </w:r>
      <w:r>
        <w:t>Over-reliance on sales tax, reduced grant access, and limited appetite for new taxes. Federal and state funding declining.</w:t>
      </w:r>
    </w:p>
    <w:p w14:paraId="797A0904" w14:textId="77777777" w:rsidR="0003111B" w:rsidRDefault="00000000">
      <w:pPr>
        <w:pStyle w:val="Heading2"/>
      </w:pPr>
      <w:r>
        <w:t>CareerWise Youth Apprenticeship (Eric, Vail Valley Partnership)</w:t>
      </w:r>
    </w:p>
    <w:p w14:paraId="797A0905" w14:textId="77777777" w:rsidR="0003111B" w:rsidRDefault="00000000">
      <w:r>
        <w:t>Eagle County’s CareerWise program has placed ~100 apprentices in 9 years across every sector — banking, healthcare, construction, maintenance tech, nonprofits. Students earn $40–50K over a two-year program. First Bank’s regional manager reported the program filled his staffing needs entirely. The model requires no employer incentives — businesses participate because they need the employees. It is replicable to any county with a school district and willing employers, but requires an institutional home (Vail Valley Partnership serves this role in Eagle County). Jon noted this capacity does not exist at the same scale in every county.</w:t>
      </w:r>
    </w:p>
    <w:p w14:paraId="797A0906" w14:textId="77777777" w:rsidR="0003111B" w:rsidRDefault="00000000">
      <w:pPr>
        <w:pStyle w:val="Heading2"/>
      </w:pPr>
      <w:r>
        <w:t>OEDIT / State CEDS Context (Kami Collins)</w:t>
      </w:r>
    </w:p>
    <w:p w14:paraId="797A0907" w14:textId="77777777" w:rsidR="0003111B" w:rsidRDefault="00000000">
      <w:r>
        <w:t>Colorado’s statewide CEDS (“Elevating Colorado”) was built bottom-up from regional CEDS using a nesting model. The state’s five pillars are: (1) Housing, (2) Job Creation + Business Development, (3) Growing Strategic Industries, (4) Tourism + Quality of Life, (5) Community Infrastructure + Resources. The regional CEDS we write here directly shapes state priorities and unlocks three federal funding pools: EDA, USDA, and SBA. Mental health was flagged as a major concern in every single regional CEDS across Colorado.</w:t>
      </w:r>
    </w:p>
    <w:p w14:paraId="797A0908" w14:textId="77777777" w:rsidR="0003111B" w:rsidRDefault="00000000">
      <w:r>
        <w:br w:type="page"/>
      </w:r>
    </w:p>
    <w:p w14:paraId="797A0909" w14:textId="77777777" w:rsidR="0003111B" w:rsidRDefault="00000000">
      <w:pPr>
        <w:pStyle w:val="Heading1"/>
      </w:pPr>
      <w:r>
        <w:lastRenderedPageBreak/>
        <w:t>Section 1: SWOT Analysis</w:t>
      </w:r>
    </w:p>
    <w:p w14:paraId="797A090A" w14:textId="77777777" w:rsidR="0003111B" w:rsidRDefault="00000000">
      <w:r>
        <w:t>Updated from the 2021 CEDS with findings from today’s morning sessions, the May 4 panel kickoff, and international peer research. Items marked NEW emerged since 2021. Items marked INTENSIFIED were in the 2021 CEDS but are significantly more acute.</w:t>
      </w:r>
    </w:p>
    <w:p w14:paraId="797A090B" w14:textId="77777777" w:rsidR="0003111B" w:rsidRDefault="00000000">
      <w:pPr>
        <w:pStyle w:val="Heading2"/>
      </w:pPr>
      <w:r>
        <w:t>Strengths</w:t>
      </w:r>
    </w:p>
    <w:p w14:paraId="797A090C" w14:textId="77777777" w:rsidR="0003111B" w:rsidRDefault="00000000">
      <w:pPr>
        <w:numPr>
          <w:ilvl w:val="0"/>
          <w:numId w:val="1"/>
        </w:numPr>
        <w:pBdr>
          <w:top w:val="nil"/>
          <w:left w:val="nil"/>
          <w:bottom w:val="nil"/>
          <w:right w:val="nil"/>
          <w:between w:val="nil"/>
        </w:pBdr>
        <w:spacing w:after="0"/>
      </w:pPr>
      <w:r>
        <w:rPr>
          <w:b/>
          <w:bCs/>
        </w:rPr>
        <w:t xml:space="preserve">World-class recreation and public lands: </w:t>
      </w:r>
      <w:r>
        <w:t>National forests, wilderness, four major ski resorts, RMNP. The foundational asset.</w:t>
      </w:r>
    </w:p>
    <w:p w14:paraId="797A090D" w14:textId="77777777" w:rsidR="0003111B" w:rsidRDefault="00000000">
      <w:pPr>
        <w:numPr>
          <w:ilvl w:val="0"/>
          <w:numId w:val="1"/>
        </w:numPr>
        <w:pBdr>
          <w:top w:val="nil"/>
          <w:left w:val="nil"/>
          <w:bottom w:val="nil"/>
          <w:right w:val="nil"/>
          <w:between w:val="nil"/>
        </w:pBdr>
        <w:spacing w:after="0"/>
      </w:pPr>
      <w:r>
        <w:rPr>
          <w:b/>
          <w:bCs/>
        </w:rPr>
        <w:t xml:space="preserve">Quality of place: </w:t>
      </w:r>
      <w:r>
        <w:t>Mountain lifestyle continues to attract residents, visitors, and businesses.</w:t>
      </w:r>
    </w:p>
    <w:p w14:paraId="797A090E" w14:textId="77777777" w:rsidR="0003111B" w:rsidRDefault="00000000">
      <w:pPr>
        <w:numPr>
          <w:ilvl w:val="0"/>
          <w:numId w:val="1"/>
        </w:numPr>
        <w:pBdr>
          <w:top w:val="nil"/>
          <w:left w:val="nil"/>
          <w:bottom w:val="nil"/>
          <w:right w:val="nil"/>
          <w:between w:val="nil"/>
        </w:pBdr>
        <w:spacing w:after="0"/>
      </w:pPr>
      <w:r>
        <w:rPr>
          <w:b/>
          <w:bCs/>
        </w:rPr>
        <w:t xml:space="preserve">Broadband infrastructure (Project THOR): </w:t>
      </w:r>
      <w:r>
        <w:t>INTENSIFIED — Regional fiber backbone proved its value during remote-work migration. Adding another county in 2027.</w:t>
      </w:r>
    </w:p>
    <w:p w14:paraId="797A090F" w14:textId="77777777" w:rsidR="0003111B" w:rsidRDefault="00000000">
      <w:pPr>
        <w:numPr>
          <w:ilvl w:val="0"/>
          <w:numId w:val="1"/>
        </w:numPr>
        <w:pBdr>
          <w:top w:val="nil"/>
          <w:left w:val="nil"/>
          <w:bottom w:val="nil"/>
          <w:right w:val="nil"/>
          <w:between w:val="nil"/>
        </w:pBdr>
        <w:spacing w:after="0"/>
      </w:pPr>
      <w:r>
        <w:rPr>
          <w:b/>
          <w:bCs/>
        </w:rPr>
        <w:t xml:space="preserve">Colorado Mountain College: </w:t>
      </w:r>
      <w:r>
        <w:t>Three campuses providing workforce training and increasingly bachelor’s programs.</w:t>
      </w:r>
    </w:p>
    <w:p w14:paraId="797A0910" w14:textId="77777777" w:rsidR="0003111B" w:rsidRDefault="00000000">
      <w:pPr>
        <w:numPr>
          <w:ilvl w:val="0"/>
          <w:numId w:val="1"/>
        </w:numPr>
        <w:pBdr>
          <w:top w:val="nil"/>
          <w:left w:val="nil"/>
          <w:bottom w:val="nil"/>
          <w:right w:val="nil"/>
          <w:between w:val="nil"/>
        </w:pBdr>
        <w:spacing w:after="0"/>
      </w:pPr>
      <w:r>
        <w:rPr>
          <w:b/>
          <w:bCs/>
        </w:rPr>
        <w:t xml:space="preserve">Educated, higher-earning resident base: </w:t>
      </w:r>
      <w:r>
        <w:t>NEW — Remote worker in-migration since 2020 raised regional education and income profile.</w:t>
      </w:r>
    </w:p>
    <w:p w14:paraId="797A0911" w14:textId="77777777" w:rsidR="0003111B" w:rsidRDefault="00000000">
      <w:pPr>
        <w:numPr>
          <w:ilvl w:val="0"/>
          <w:numId w:val="1"/>
        </w:numPr>
        <w:pBdr>
          <w:top w:val="nil"/>
          <w:left w:val="nil"/>
          <w:bottom w:val="nil"/>
          <w:right w:val="nil"/>
          <w:between w:val="nil"/>
        </w:pBdr>
        <w:spacing w:after="0"/>
      </w:pPr>
      <w:r>
        <w:rPr>
          <w:b/>
          <w:bCs/>
        </w:rPr>
        <w:t xml:space="preserve">CareerWise apprenticeship pipeline: </w:t>
      </w:r>
      <w:r>
        <w:t>NEW — ~100 apprentices in 9 years in Eagle County. Proven, replicable model producing $40–50K earners at age 19.</w:t>
      </w:r>
    </w:p>
    <w:p w14:paraId="797A0912" w14:textId="77777777" w:rsidR="0003111B" w:rsidRDefault="00000000">
      <w:pPr>
        <w:numPr>
          <w:ilvl w:val="0"/>
          <w:numId w:val="1"/>
        </w:numPr>
        <w:pBdr>
          <w:top w:val="nil"/>
          <w:left w:val="nil"/>
          <w:bottom w:val="nil"/>
          <w:right w:val="nil"/>
          <w:between w:val="nil"/>
        </w:pBdr>
        <w:spacing w:after="0"/>
      </w:pPr>
      <w:r>
        <w:rPr>
          <w:b/>
          <w:bCs/>
        </w:rPr>
        <w:t xml:space="preserve">Entrepreneurial energy beyond resort towns: </w:t>
      </w:r>
      <w:r>
        <w:t>NEW — Hayden recruiting data centers, developing airport, deploying MyTownAI. Innovation in a town of 2,000.</w:t>
      </w:r>
    </w:p>
    <w:p w14:paraId="797A0913" w14:textId="77777777" w:rsidR="0003111B" w:rsidRDefault="00000000">
      <w:pPr>
        <w:numPr>
          <w:ilvl w:val="0"/>
          <w:numId w:val="1"/>
        </w:numPr>
        <w:pBdr>
          <w:top w:val="nil"/>
          <w:left w:val="nil"/>
          <w:bottom w:val="nil"/>
          <w:right w:val="nil"/>
          <w:between w:val="nil"/>
        </w:pBdr>
        <w:spacing w:after="0"/>
      </w:pPr>
      <w:r>
        <w:rPr>
          <w:b/>
          <w:bCs/>
        </w:rPr>
        <w:t xml:space="preserve">Regional collaboration improving: </w:t>
      </w:r>
      <w:r>
        <w:t>NEW — Jon Stavney noted cross-county collaboration has skyrocketed since COVID.</w:t>
      </w:r>
    </w:p>
    <w:p w14:paraId="797A0914" w14:textId="77777777" w:rsidR="0003111B" w:rsidRDefault="00000000">
      <w:pPr>
        <w:numPr>
          <w:ilvl w:val="0"/>
          <w:numId w:val="1"/>
        </w:numPr>
        <w:pBdr>
          <w:top w:val="nil"/>
          <w:left w:val="nil"/>
          <w:bottom w:val="nil"/>
          <w:right w:val="nil"/>
          <w:between w:val="nil"/>
        </w:pBdr>
        <w:spacing w:after="0"/>
      </w:pPr>
      <w:r>
        <w:rPr>
          <w:b/>
          <w:bCs/>
        </w:rPr>
        <w:t xml:space="preserve">Healthcare system growth: </w:t>
      </w:r>
      <w:r>
        <w:t>Vail Health, Middle Park Health expanding. Fastest-growing employment sector since 2021.</w:t>
      </w:r>
    </w:p>
    <w:p w14:paraId="797A0915" w14:textId="77777777" w:rsidR="0003111B" w:rsidRDefault="00000000">
      <w:pPr>
        <w:numPr>
          <w:ilvl w:val="0"/>
          <w:numId w:val="1"/>
        </w:numPr>
        <w:pBdr>
          <w:top w:val="nil"/>
          <w:left w:val="nil"/>
          <w:bottom w:val="nil"/>
          <w:right w:val="nil"/>
          <w:between w:val="nil"/>
        </w:pBdr>
        <w:spacing w:after="0"/>
      </w:pPr>
      <w:r>
        <w:rPr>
          <w:b/>
          <w:bCs/>
        </w:rPr>
        <w:t xml:space="preserve">Northwest Loan Fund: </w:t>
      </w:r>
      <w:r>
        <w:t>Startup lending filling the gap banks won’t — loans to businesses before three years of profitability.</w:t>
      </w:r>
    </w:p>
    <w:p w14:paraId="797A0916" w14:textId="77777777" w:rsidR="0003111B" w:rsidRDefault="00000000">
      <w:pPr>
        <w:numPr>
          <w:ilvl w:val="0"/>
          <w:numId w:val="1"/>
        </w:numPr>
        <w:pBdr>
          <w:top w:val="nil"/>
          <w:left w:val="nil"/>
          <w:bottom w:val="nil"/>
          <w:right w:val="nil"/>
          <w:between w:val="nil"/>
        </w:pBdr>
        <w:spacing w:after="0"/>
      </w:pPr>
      <w:r>
        <w:rPr>
          <w:b/>
          <w:bCs/>
        </w:rPr>
        <w:t xml:space="preserve">Baby boomer population: </w:t>
      </w:r>
      <w:r>
        <w:t>NEW — Retirees with wealth, professional expertise, and civic capacity. Underutilized asset.</w:t>
      </w:r>
    </w:p>
    <w:p w14:paraId="797A0917" w14:textId="77777777" w:rsidR="0003111B" w:rsidRDefault="00000000">
      <w:pPr>
        <w:numPr>
          <w:ilvl w:val="0"/>
          <w:numId w:val="1"/>
        </w:numPr>
        <w:pBdr>
          <w:top w:val="nil"/>
          <w:left w:val="nil"/>
          <w:bottom w:val="nil"/>
          <w:right w:val="nil"/>
          <w:between w:val="nil"/>
        </w:pBdr>
      </w:pPr>
      <w:r>
        <w:rPr>
          <w:b/>
          <w:bCs/>
        </w:rPr>
        <w:t xml:space="preserve">NWCCOG weatherization/energy program: </w:t>
      </w:r>
      <w:r>
        <w:t>Grown from 8 to 36 employees in 10 years. Now serving households up to 150% AMI ($200K for family of four in Eagle/Summit).</w:t>
      </w:r>
    </w:p>
    <w:p w14:paraId="797A0918" w14:textId="77777777" w:rsidR="0003111B" w:rsidRDefault="00000000">
      <w:pPr>
        <w:pStyle w:val="Heading2"/>
      </w:pPr>
      <w:r>
        <w:t>Weaknesses</w:t>
      </w:r>
    </w:p>
    <w:p w14:paraId="797A0919" w14:textId="77777777" w:rsidR="0003111B" w:rsidRDefault="00000000">
      <w:pPr>
        <w:numPr>
          <w:ilvl w:val="0"/>
          <w:numId w:val="1"/>
        </w:numPr>
        <w:pBdr>
          <w:top w:val="nil"/>
          <w:left w:val="nil"/>
          <w:bottom w:val="nil"/>
          <w:right w:val="nil"/>
          <w:between w:val="nil"/>
        </w:pBdr>
        <w:spacing w:after="0"/>
      </w:pPr>
      <w:r>
        <w:rPr>
          <w:b/>
          <w:bCs/>
        </w:rPr>
        <w:t xml:space="preserve">Single-sector tourism dependence: </w:t>
      </w:r>
      <w:r>
        <w:t>INTENSIFIED — 45–51% of jobs across most counties. Low wages, seasonal instability, weather vulnerability.</w:t>
      </w:r>
    </w:p>
    <w:p w14:paraId="797A091A" w14:textId="77777777" w:rsidR="0003111B" w:rsidRDefault="00000000">
      <w:pPr>
        <w:numPr>
          <w:ilvl w:val="0"/>
          <w:numId w:val="1"/>
        </w:numPr>
        <w:pBdr>
          <w:top w:val="nil"/>
          <w:left w:val="nil"/>
          <w:bottom w:val="nil"/>
          <w:right w:val="nil"/>
          <w:between w:val="nil"/>
        </w:pBdr>
        <w:spacing w:after="0"/>
      </w:pPr>
      <w:r>
        <w:rPr>
          <w:b/>
          <w:bCs/>
        </w:rPr>
        <w:t xml:space="preserve">Resident population actually shrinking: </w:t>
      </w:r>
      <w:r>
        <w:t>NEW — Net negative migration for 5–6 years. Working-age population declining. Masked by tourism and second-home congestion.</w:t>
      </w:r>
    </w:p>
    <w:p w14:paraId="797A091B" w14:textId="77777777" w:rsidR="0003111B" w:rsidRDefault="00000000">
      <w:pPr>
        <w:numPr>
          <w:ilvl w:val="0"/>
          <w:numId w:val="1"/>
        </w:numPr>
        <w:pBdr>
          <w:top w:val="nil"/>
          <w:left w:val="nil"/>
          <w:bottom w:val="nil"/>
          <w:right w:val="nil"/>
          <w:between w:val="nil"/>
        </w:pBdr>
        <w:spacing w:after="0"/>
      </w:pPr>
      <w:r>
        <w:rPr>
          <w:b/>
          <w:bCs/>
        </w:rPr>
        <w:t xml:space="preserve">Housing affordability as binding constraint: </w:t>
      </w:r>
      <w:r>
        <w:t>INTENSIFIED — Missing middle is structural. 57.4% of Grand County units vacant/seasonal. 75% of Glenwood Springs jobs filled by 70-mile commuters.</w:t>
      </w:r>
    </w:p>
    <w:p w14:paraId="797A091C" w14:textId="77777777" w:rsidR="0003111B" w:rsidRDefault="00000000">
      <w:pPr>
        <w:numPr>
          <w:ilvl w:val="0"/>
          <w:numId w:val="1"/>
        </w:numPr>
        <w:pBdr>
          <w:top w:val="nil"/>
          <w:left w:val="nil"/>
          <w:bottom w:val="nil"/>
          <w:right w:val="nil"/>
          <w:between w:val="nil"/>
        </w:pBdr>
        <w:spacing w:after="0"/>
      </w:pPr>
      <w:r>
        <w:rPr>
          <w:b/>
          <w:bCs/>
        </w:rPr>
        <w:t xml:space="preserve">Execution capacity, not strategy, is the bottleneck: </w:t>
      </w:r>
      <w:r>
        <w:t>NEW — Carl’s finding: communities know the problems but can’t implement solutions fast enough with existing staff and budgets.</w:t>
      </w:r>
    </w:p>
    <w:p w14:paraId="797A091D" w14:textId="77777777" w:rsidR="0003111B" w:rsidRDefault="00000000">
      <w:pPr>
        <w:numPr>
          <w:ilvl w:val="0"/>
          <w:numId w:val="1"/>
        </w:numPr>
        <w:pBdr>
          <w:top w:val="nil"/>
          <w:left w:val="nil"/>
          <w:bottom w:val="nil"/>
          <w:right w:val="nil"/>
          <w:between w:val="nil"/>
        </w:pBdr>
        <w:spacing w:after="0"/>
      </w:pPr>
      <w:r>
        <w:rPr>
          <w:b/>
          <w:bCs/>
        </w:rPr>
        <w:lastRenderedPageBreak/>
        <w:t xml:space="preserve">Civic leadership vacuum: </w:t>
      </w:r>
      <w:r>
        <w:t>NEW — Average age 60+ in some communities, uncontested elections, gap in 25–45 bracket.</w:t>
      </w:r>
    </w:p>
    <w:p w14:paraId="797A091E" w14:textId="77777777" w:rsidR="0003111B" w:rsidRDefault="00000000">
      <w:pPr>
        <w:numPr>
          <w:ilvl w:val="0"/>
          <w:numId w:val="1"/>
        </w:numPr>
        <w:pBdr>
          <w:top w:val="nil"/>
          <w:left w:val="nil"/>
          <w:bottom w:val="nil"/>
          <w:right w:val="nil"/>
          <w:between w:val="nil"/>
        </w:pBdr>
        <w:spacing w:after="0"/>
      </w:pPr>
      <w:r>
        <w:rPr>
          <w:b/>
          <w:bCs/>
        </w:rPr>
        <w:t xml:space="preserve">Political fragmentation: </w:t>
      </w:r>
      <w:r>
        <w:t>NEW — Gypsum opting out of regional transportation tax. Five counties with very different political cultures.</w:t>
      </w:r>
    </w:p>
    <w:p w14:paraId="797A091F" w14:textId="77777777" w:rsidR="0003111B" w:rsidRDefault="00000000">
      <w:pPr>
        <w:numPr>
          <w:ilvl w:val="0"/>
          <w:numId w:val="1"/>
        </w:numPr>
        <w:pBdr>
          <w:top w:val="nil"/>
          <w:left w:val="nil"/>
          <w:bottom w:val="nil"/>
          <w:right w:val="nil"/>
          <w:between w:val="nil"/>
        </w:pBdr>
        <w:spacing w:after="0"/>
      </w:pPr>
      <w:r>
        <w:rPr>
          <w:b/>
          <w:bCs/>
        </w:rPr>
        <w:t xml:space="preserve">Revenue structure strained: </w:t>
      </w:r>
      <w:r>
        <w:t>NEW — Over-reliance on sales tax, declining grant access, no appetite for new taxes. Aging population will reduce per capita income and spending.</w:t>
      </w:r>
    </w:p>
    <w:p w14:paraId="797A0920" w14:textId="77777777" w:rsidR="0003111B" w:rsidRDefault="00000000">
      <w:pPr>
        <w:numPr>
          <w:ilvl w:val="0"/>
          <w:numId w:val="1"/>
        </w:numPr>
        <w:pBdr>
          <w:top w:val="nil"/>
          <w:left w:val="nil"/>
          <w:bottom w:val="nil"/>
          <w:right w:val="nil"/>
          <w:between w:val="nil"/>
        </w:pBdr>
        <w:spacing w:after="0"/>
      </w:pPr>
      <w:r>
        <w:rPr>
          <w:b/>
          <w:bCs/>
        </w:rPr>
        <w:t xml:space="preserve">Infrastructure built for earlier versions of communities: </w:t>
      </w:r>
      <w:r>
        <w:t>NEW — Water, roads, public safety under strain. Concurrency costs of new housing development (utilities, treatment) not funded.</w:t>
      </w:r>
    </w:p>
    <w:p w14:paraId="797A0921" w14:textId="77777777" w:rsidR="0003111B" w:rsidRDefault="00000000">
      <w:pPr>
        <w:numPr>
          <w:ilvl w:val="0"/>
          <w:numId w:val="1"/>
        </w:numPr>
        <w:pBdr>
          <w:top w:val="nil"/>
          <w:left w:val="nil"/>
          <w:bottom w:val="nil"/>
          <w:right w:val="nil"/>
          <w:between w:val="nil"/>
        </w:pBdr>
        <w:spacing w:after="0"/>
      </w:pPr>
      <w:r>
        <w:rPr>
          <w:b/>
          <w:bCs/>
        </w:rPr>
        <w:t xml:space="preserve">Uneven institutional capacity across counties: </w:t>
      </w:r>
      <w:r>
        <w:t>NEW — Vail Valley Partnership provides services that don’t exist at the same scale in Grand County or the Roaring Fork valley.</w:t>
      </w:r>
    </w:p>
    <w:p w14:paraId="797A0922" w14:textId="77777777" w:rsidR="0003111B" w:rsidRDefault="00000000">
      <w:pPr>
        <w:numPr>
          <w:ilvl w:val="0"/>
          <w:numId w:val="1"/>
        </w:numPr>
        <w:pBdr>
          <w:top w:val="nil"/>
          <w:left w:val="nil"/>
          <w:bottom w:val="nil"/>
          <w:right w:val="nil"/>
          <w:between w:val="nil"/>
        </w:pBdr>
        <w:spacing w:after="0"/>
      </w:pPr>
      <w:r>
        <w:rPr>
          <w:b/>
          <w:bCs/>
        </w:rPr>
        <w:t xml:space="preserve">Transportation bottlenecks: </w:t>
      </w:r>
      <w:r>
        <w:t>I-70 congestion remains the defining infrastructure constraint. No viable east-west alternatives.</w:t>
      </w:r>
    </w:p>
    <w:p w14:paraId="797A0923" w14:textId="77777777" w:rsidR="0003111B" w:rsidRDefault="00000000">
      <w:pPr>
        <w:numPr>
          <w:ilvl w:val="0"/>
          <w:numId w:val="1"/>
        </w:numPr>
        <w:pBdr>
          <w:top w:val="nil"/>
          <w:left w:val="nil"/>
          <w:bottom w:val="nil"/>
          <w:right w:val="nil"/>
          <w:between w:val="nil"/>
        </w:pBdr>
        <w:spacing w:after="0"/>
      </w:pPr>
      <w:r>
        <w:rPr>
          <w:b/>
          <w:bCs/>
        </w:rPr>
        <w:t xml:space="preserve">Childcare, mental health, substance abuse gaps: </w:t>
      </w:r>
      <w:r>
        <w:t>Persistent shortages, especially outside resort cores. Flagged in every regional CEDS across Colorado.</w:t>
      </w:r>
    </w:p>
    <w:p w14:paraId="797A0924" w14:textId="77777777" w:rsidR="0003111B" w:rsidRDefault="00000000">
      <w:pPr>
        <w:numPr>
          <w:ilvl w:val="0"/>
          <w:numId w:val="1"/>
        </w:numPr>
        <w:pBdr>
          <w:top w:val="nil"/>
          <w:left w:val="nil"/>
          <w:bottom w:val="nil"/>
          <w:right w:val="nil"/>
          <w:between w:val="nil"/>
        </w:pBdr>
      </w:pPr>
      <w:r>
        <w:rPr>
          <w:b/>
          <w:bCs/>
        </w:rPr>
        <w:t xml:space="preserve">No Hispanic/Latino voice in regional survey data: </w:t>
      </w:r>
      <w:r>
        <w:t>NEW — Explicitly acknowledged as a gap in the statistical analysis project. 29.6% of Eagle County is Hispanic.</w:t>
      </w:r>
    </w:p>
    <w:p w14:paraId="797A0925" w14:textId="77777777" w:rsidR="0003111B" w:rsidRDefault="00000000">
      <w:pPr>
        <w:pStyle w:val="Heading2"/>
      </w:pPr>
      <w:r>
        <w:t>Opportunities</w:t>
      </w:r>
    </w:p>
    <w:p w14:paraId="797A0926" w14:textId="77777777" w:rsidR="0003111B" w:rsidRDefault="00000000">
      <w:pPr>
        <w:numPr>
          <w:ilvl w:val="0"/>
          <w:numId w:val="1"/>
        </w:numPr>
        <w:pBdr>
          <w:top w:val="nil"/>
          <w:left w:val="nil"/>
          <w:bottom w:val="nil"/>
          <w:right w:val="nil"/>
          <w:between w:val="nil"/>
        </w:pBdr>
        <w:spacing w:after="0"/>
      </w:pPr>
      <w:r>
        <w:rPr>
          <w:b/>
          <w:bCs/>
        </w:rPr>
        <w:t xml:space="preserve">AI and technology entrepreneurship: </w:t>
      </w:r>
      <w:r>
        <w:t>NEW — Hayden’s MyTownAI, regional broadband, educated population. CMC could anchor digital skills programming.</w:t>
      </w:r>
    </w:p>
    <w:p w14:paraId="797A0927" w14:textId="77777777" w:rsidR="0003111B" w:rsidRDefault="00000000">
      <w:pPr>
        <w:numPr>
          <w:ilvl w:val="0"/>
          <w:numId w:val="1"/>
        </w:numPr>
        <w:pBdr>
          <w:top w:val="nil"/>
          <w:left w:val="nil"/>
          <w:bottom w:val="nil"/>
          <w:right w:val="nil"/>
          <w:between w:val="nil"/>
        </w:pBdr>
        <w:spacing w:after="0"/>
      </w:pPr>
      <w:r>
        <w:rPr>
          <w:b/>
          <w:bCs/>
        </w:rPr>
        <w:t xml:space="preserve">Mountain Rail and regional transit: </w:t>
      </w:r>
      <w:r>
        <w:t>NEW — Existing Amtrak through Moffat Tunnel, proposed northern connector through Steamboat/Hayden/Craig.</w:t>
      </w:r>
    </w:p>
    <w:p w14:paraId="797A0928" w14:textId="77777777" w:rsidR="0003111B" w:rsidRDefault="00000000">
      <w:pPr>
        <w:numPr>
          <w:ilvl w:val="0"/>
          <w:numId w:val="1"/>
        </w:numPr>
        <w:pBdr>
          <w:top w:val="nil"/>
          <w:left w:val="nil"/>
          <w:bottom w:val="nil"/>
          <w:right w:val="nil"/>
          <w:between w:val="nil"/>
        </w:pBdr>
        <w:spacing w:after="0"/>
      </w:pPr>
      <w:r>
        <w:rPr>
          <w:b/>
          <w:bCs/>
        </w:rPr>
        <w:t xml:space="preserve">Energy transition as greenfield opportunity: </w:t>
      </w:r>
      <w:r>
        <w:t>NEW — Hayden/Craig coal transition: data centers, renewable energy, logistics, airport. Affordable land and motivated communities.</w:t>
      </w:r>
    </w:p>
    <w:p w14:paraId="797A0929" w14:textId="77777777" w:rsidR="0003111B" w:rsidRDefault="00000000">
      <w:pPr>
        <w:numPr>
          <w:ilvl w:val="0"/>
          <w:numId w:val="1"/>
        </w:numPr>
        <w:pBdr>
          <w:top w:val="nil"/>
          <w:left w:val="nil"/>
          <w:bottom w:val="nil"/>
          <w:right w:val="nil"/>
          <w:between w:val="nil"/>
        </w:pBdr>
        <w:spacing w:after="0"/>
      </w:pPr>
      <w:r>
        <w:rPr>
          <w:b/>
          <w:bCs/>
        </w:rPr>
        <w:t xml:space="preserve">Residents First tourism management: </w:t>
      </w:r>
      <w:r>
        <w:t>NEW — Glenwood Springs’ destination management pivot as a regional model.</w:t>
      </w:r>
    </w:p>
    <w:p w14:paraId="797A092A" w14:textId="77777777" w:rsidR="0003111B" w:rsidRDefault="00000000">
      <w:pPr>
        <w:numPr>
          <w:ilvl w:val="0"/>
          <w:numId w:val="1"/>
        </w:numPr>
        <w:pBdr>
          <w:top w:val="nil"/>
          <w:left w:val="nil"/>
          <w:bottom w:val="nil"/>
          <w:right w:val="nil"/>
          <w:between w:val="nil"/>
        </w:pBdr>
        <w:spacing w:after="0"/>
      </w:pPr>
      <w:r>
        <w:rPr>
          <w:b/>
          <w:bCs/>
        </w:rPr>
        <w:t xml:space="preserve">Youth apprenticeship replication: </w:t>
      </w:r>
      <w:r>
        <w:t>NEW — CareerWise model proven in Eagle County. Expandable to every county with school district + institutional host.</w:t>
      </w:r>
    </w:p>
    <w:p w14:paraId="797A092B" w14:textId="77777777" w:rsidR="0003111B" w:rsidRDefault="00000000">
      <w:pPr>
        <w:numPr>
          <w:ilvl w:val="0"/>
          <w:numId w:val="1"/>
        </w:numPr>
        <w:pBdr>
          <w:top w:val="nil"/>
          <w:left w:val="nil"/>
          <w:bottom w:val="nil"/>
          <w:right w:val="nil"/>
          <w:between w:val="nil"/>
        </w:pBdr>
        <w:spacing w:after="0"/>
      </w:pPr>
      <w:r>
        <w:rPr>
          <w:b/>
          <w:bCs/>
        </w:rPr>
        <w:t xml:space="preserve">Baby boomer economic activation: </w:t>
      </w:r>
      <w:r>
        <w:t>NEW — Encore careers, angel investing, mentorship pipelines, civic leadership.</w:t>
      </w:r>
    </w:p>
    <w:p w14:paraId="797A092C" w14:textId="77777777" w:rsidR="0003111B" w:rsidRDefault="00000000">
      <w:pPr>
        <w:numPr>
          <w:ilvl w:val="0"/>
          <w:numId w:val="1"/>
        </w:numPr>
        <w:pBdr>
          <w:top w:val="nil"/>
          <w:left w:val="nil"/>
          <w:bottom w:val="nil"/>
          <w:right w:val="nil"/>
          <w:between w:val="nil"/>
        </w:pBdr>
        <w:spacing w:after="0"/>
      </w:pPr>
      <w:r>
        <w:rPr>
          <w:b/>
          <w:bCs/>
        </w:rPr>
        <w:t xml:space="preserve">Healthcare and professional services growth: </w:t>
      </w:r>
      <w:r>
        <w:t>Fastest-growing sectors. Telehealth, satellite offices, remote-work zoning.</w:t>
      </w:r>
    </w:p>
    <w:p w14:paraId="797A092D" w14:textId="77777777" w:rsidR="0003111B" w:rsidRDefault="00000000">
      <w:pPr>
        <w:numPr>
          <w:ilvl w:val="0"/>
          <w:numId w:val="1"/>
        </w:numPr>
        <w:pBdr>
          <w:top w:val="nil"/>
          <w:left w:val="nil"/>
          <w:bottom w:val="nil"/>
          <w:right w:val="nil"/>
          <w:between w:val="nil"/>
        </w:pBdr>
        <w:spacing w:after="0"/>
      </w:pPr>
      <w:r>
        <w:rPr>
          <w:b/>
          <w:bCs/>
        </w:rPr>
        <w:t xml:space="preserve">Four-season visitor economy: </w:t>
      </w:r>
      <w:r>
        <w:t>Shoulder season development, agritourism in Grand/Jackson, cultural tourism, conference market.</w:t>
      </w:r>
    </w:p>
    <w:p w14:paraId="797A092E" w14:textId="77777777" w:rsidR="0003111B" w:rsidRDefault="00000000">
      <w:pPr>
        <w:numPr>
          <w:ilvl w:val="0"/>
          <w:numId w:val="1"/>
        </w:numPr>
        <w:pBdr>
          <w:top w:val="nil"/>
          <w:left w:val="nil"/>
          <w:bottom w:val="nil"/>
          <w:right w:val="nil"/>
          <w:between w:val="nil"/>
        </w:pBdr>
        <w:spacing w:after="0"/>
      </w:pPr>
      <w:r>
        <w:rPr>
          <w:b/>
          <w:bCs/>
        </w:rPr>
        <w:t xml:space="preserve">Creative fund reallocation: </w:t>
      </w:r>
      <w:r>
        <w:t>NEW — Towns rearranging restricted funds rather than seeking new revenue. Fiscal creativity as economic development.</w:t>
      </w:r>
    </w:p>
    <w:p w14:paraId="797A092F" w14:textId="77777777" w:rsidR="0003111B" w:rsidRDefault="00000000">
      <w:pPr>
        <w:numPr>
          <w:ilvl w:val="0"/>
          <w:numId w:val="1"/>
        </w:numPr>
        <w:pBdr>
          <w:top w:val="nil"/>
          <w:left w:val="nil"/>
          <w:bottom w:val="nil"/>
          <w:right w:val="nil"/>
          <w:between w:val="nil"/>
        </w:pBdr>
        <w:spacing w:after="0"/>
      </w:pPr>
      <w:r>
        <w:rPr>
          <w:b/>
          <w:bCs/>
        </w:rPr>
        <w:t xml:space="preserve">Remote worker recruitment as economic strategy: </w:t>
      </w:r>
      <w:r>
        <w:t>NEW from peer research — Sun Valley calculates $110K GDP per remote worker. Peer regions actively recruit location-neutral talent rather than only managing them as a housing threat.</w:t>
      </w:r>
    </w:p>
    <w:p w14:paraId="797A0930" w14:textId="77777777" w:rsidR="0003111B" w:rsidRDefault="00000000">
      <w:pPr>
        <w:numPr>
          <w:ilvl w:val="0"/>
          <w:numId w:val="1"/>
        </w:numPr>
        <w:pBdr>
          <w:top w:val="nil"/>
          <w:left w:val="nil"/>
          <w:bottom w:val="nil"/>
          <w:right w:val="nil"/>
          <w:between w:val="nil"/>
        </w:pBdr>
      </w:pPr>
      <w:r>
        <w:rPr>
          <w:b/>
          <w:bCs/>
        </w:rPr>
        <w:t xml:space="preserve">International peer tools available for adaptation: </w:t>
      </w:r>
      <w:r>
        <w:t>NEW — Big Sky’s $60M resort-tax bond, Mammoth’s</w:t>
      </w:r>
      <w:commentRangeStart w:id="0"/>
      <w:r>
        <w:t xml:space="preserve"> Lease to Locals</w:t>
      </w:r>
      <w:commentRangeEnd w:id="0"/>
      <w:r>
        <w:rPr>
          <w:rStyle w:val="CommentReference"/>
          <w:sz w:val="22"/>
          <w:szCs w:val="22"/>
        </w:rPr>
        <w:commentReference w:id="0"/>
      </w:r>
      <w:r>
        <w:t>, Whistler’s Balance Model, Park City’s biochar program. See Section 3.</w:t>
      </w:r>
    </w:p>
    <w:p w14:paraId="797A0931" w14:textId="77777777" w:rsidR="0003111B" w:rsidRDefault="00000000">
      <w:pPr>
        <w:pStyle w:val="Heading2"/>
      </w:pPr>
      <w:r>
        <w:lastRenderedPageBreak/>
        <w:t>Threats</w:t>
      </w:r>
    </w:p>
    <w:p w14:paraId="797A0932" w14:textId="77777777" w:rsidR="0003111B" w:rsidRDefault="00000000">
      <w:pPr>
        <w:numPr>
          <w:ilvl w:val="0"/>
          <w:numId w:val="1"/>
        </w:numPr>
        <w:pBdr>
          <w:top w:val="nil"/>
          <w:left w:val="nil"/>
          <w:bottom w:val="nil"/>
          <w:right w:val="nil"/>
          <w:between w:val="nil"/>
        </w:pBdr>
        <w:spacing w:after="0"/>
      </w:pPr>
      <w:r>
        <w:rPr>
          <w:b/>
          <w:bCs/>
        </w:rPr>
        <w:t xml:space="preserve">Unreliable winters are the new baseline: </w:t>
      </w:r>
      <w:r>
        <w:t>INTENSIFIED — 2025–26 low-snow season moved this from threat to current condition.</w:t>
      </w:r>
    </w:p>
    <w:p w14:paraId="797A0933" w14:textId="77777777" w:rsidR="0003111B" w:rsidRDefault="00000000">
      <w:pPr>
        <w:numPr>
          <w:ilvl w:val="0"/>
          <w:numId w:val="1"/>
        </w:numPr>
        <w:pBdr>
          <w:top w:val="nil"/>
          <w:left w:val="nil"/>
          <w:bottom w:val="nil"/>
          <w:right w:val="nil"/>
          <w:between w:val="nil"/>
        </w:pBdr>
        <w:spacing w:after="0"/>
      </w:pPr>
      <w:r>
        <w:rPr>
          <w:b/>
          <w:bCs/>
        </w:rPr>
        <w:t xml:space="preserve">Wildfire and drought escalation: </w:t>
      </w:r>
      <w:r>
        <w:t>INTENSIFIED — Major fires since 2021, smoke on summer tourism, mudslide risk, forest health.</w:t>
      </w:r>
    </w:p>
    <w:p w14:paraId="797A0934" w14:textId="77777777" w:rsidR="0003111B" w:rsidRDefault="00000000">
      <w:pPr>
        <w:numPr>
          <w:ilvl w:val="0"/>
          <w:numId w:val="1"/>
        </w:numPr>
        <w:pBdr>
          <w:top w:val="nil"/>
          <w:left w:val="nil"/>
          <w:bottom w:val="nil"/>
          <w:right w:val="nil"/>
          <w:between w:val="nil"/>
        </w:pBdr>
        <w:spacing w:after="0"/>
      </w:pPr>
      <w:r>
        <w:rPr>
          <w:b/>
          <w:bCs/>
        </w:rPr>
        <w:t xml:space="preserve">Population decline compounding: </w:t>
      </w:r>
      <w:r>
        <w:t>NEW — Fewer births + net out-migration + aging = shrinking tax base, school closures, reduced labor force. Under low-migration scenarios, working-age population declines.</w:t>
      </w:r>
    </w:p>
    <w:p w14:paraId="797A0935" w14:textId="77777777" w:rsidR="0003111B" w:rsidRDefault="00000000">
      <w:pPr>
        <w:numPr>
          <w:ilvl w:val="0"/>
          <w:numId w:val="1"/>
        </w:numPr>
        <w:pBdr>
          <w:top w:val="nil"/>
          <w:left w:val="nil"/>
          <w:bottom w:val="nil"/>
          <w:right w:val="nil"/>
          <w:between w:val="nil"/>
        </w:pBdr>
        <w:spacing w:after="0"/>
      </w:pPr>
      <w:r>
        <w:rPr>
          <w:b/>
          <w:bCs/>
        </w:rPr>
        <w:t xml:space="preserve">Immigration enforcement reducing labor supply: </w:t>
      </w:r>
      <w:r>
        <w:t>NEW — 88% of Colorado’s net migration is now international. Trump administration policies likely to reduce this sharply. Direct impact on service workforce.</w:t>
      </w:r>
    </w:p>
    <w:p w14:paraId="797A0936" w14:textId="77777777" w:rsidR="0003111B" w:rsidRDefault="00000000">
      <w:pPr>
        <w:numPr>
          <w:ilvl w:val="0"/>
          <w:numId w:val="1"/>
        </w:numPr>
        <w:pBdr>
          <w:top w:val="nil"/>
          <w:left w:val="nil"/>
          <w:bottom w:val="nil"/>
          <w:right w:val="nil"/>
          <w:between w:val="nil"/>
        </w:pBdr>
        <w:spacing w:after="0"/>
      </w:pPr>
      <w:r>
        <w:rPr>
          <w:b/>
          <w:bCs/>
        </w:rPr>
        <w:t xml:space="preserve">Housing price spiral: </w:t>
      </w:r>
      <w:r>
        <w:t>Remote in-migration diversifies the economy but destabilizes the workforce. The same force that helps also hurts.</w:t>
      </w:r>
    </w:p>
    <w:p w14:paraId="797A0937" w14:textId="77777777" w:rsidR="0003111B" w:rsidRDefault="00000000">
      <w:pPr>
        <w:numPr>
          <w:ilvl w:val="0"/>
          <w:numId w:val="1"/>
        </w:numPr>
        <w:pBdr>
          <w:top w:val="nil"/>
          <w:left w:val="nil"/>
          <w:bottom w:val="nil"/>
          <w:right w:val="nil"/>
          <w:between w:val="nil"/>
        </w:pBdr>
        <w:spacing w:after="0"/>
      </w:pPr>
      <w:r>
        <w:rPr>
          <w:b/>
          <w:bCs/>
        </w:rPr>
        <w:t xml:space="preserve">State mandate friction: </w:t>
      </w:r>
      <w:r>
        <w:t>NEW — Rural frustration with water regulations, wolves, Colorado Home Act creating political headwinds.</w:t>
      </w:r>
    </w:p>
    <w:p w14:paraId="797A0938" w14:textId="77777777" w:rsidR="0003111B" w:rsidRDefault="00000000">
      <w:pPr>
        <w:numPr>
          <w:ilvl w:val="0"/>
          <w:numId w:val="1"/>
        </w:numPr>
        <w:pBdr>
          <w:top w:val="nil"/>
          <w:left w:val="nil"/>
          <w:bottom w:val="nil"/>
          <w:right w:val="nil"/>
          <w:between w:val="nil"/>
        </w:pBdr>
        <w:spacing w:after="0"/>
      </w:pPr>
      <w:r>
        <w:rPr>
          <w:b/>
          <w:bCs/>
        </w:rPr>
        <w:t xml:space="preserve">Over-promising, under-delivering gap: </w:t>
      </w:r>
      <w:r>
        <w:t>NEW — Carl’s finding: communities communicate successes that raise expectations, but can’t deliver at the pace residents expect. 1 in 4 leaders say quality of life is declining.</w:t>
      </w:r>
    </w:p>
    <w:p w14:paraId="797A0939" w14:textId="77777777" w:rsidR="0003111B" w:rsidRDefault="00000000">
      <w:pPr>
        <w:numPr>
          <w:ilvl w:val="0"/>
          <w:numId w:val="1"/>
        </w:numPr>
        <w:pBdr>
          <w:top w:val="nil"/>
          <w:left w:val="nil"/>
          <w:bottom w:val="nil"/>
          <w:right w:val="nil"/>
          <w:between w:val="nil"/>
        </w:pBdr>
        <w:spacing w:after="0"/>
      </w:pPr>
      <w:r>
        <w:rPr>
          <w:b/>
          <w:bCs/>
        </w:rPr>
        <w:t xml:space="preserve">Regional fragmentation risk: </w:t>
      </w:r>
      <w:r>
        <w:t>NEW — Municipal opt-outs threaten collective strategy. Regional problems solved with local tools = duplication and inefficiency.</w:t>
      </w:r>
    </w:p>
    <w:p w14:paraId="797A093A" w14:textId="77777777" w:rsidR="0003111B" w:rsidRDefault="00000000">
      <w:pPr>
        <w:numPr>
          <w:ilvl w:val="0"/>
          <w:numId w:val="1"/>
        </w:numPr>
        <w:pBdr>
          <w:top w:val="nil"/>
          <w:left w:val="nil"/>
          <w:bottom w:val="nil"/>
          <w:right w:val="nil"/>
          <w:between w:val="nil"/>
        </w:pBdr>
      </w:pPr>
      <w:r>
        <w:rPr>
          <w:b/>
          <w:bCs/>
        </w:rPr>
        <w:t xml:space="preserve">Federal funding uncertainty: </w:t>
      </w:r>
      <w:r>
        <w:t>EDA priority changes and budget dynamics create risk for the grant pipeline the CEDS unlocks.</w:t>
      </w:r>
    </w:p>
    <w:p w14:paraId="797A093B" w14:textId="77777777" w:rsidR="0003111B" w:rsidRDefault="00000000">
      <w:r>
        <w:br w:type="page"/>
      </w:r>
    </w:p>
    <w:p w14:paraId="797A093C" w14:textId="77777777" w:rsidR="0003111B" w:rsidRDefault="00000000">
      <w:pPr>
        <w:pStyle w:val="Heading1"/>
      </w:pPr>
      <w:r>
        <w:lastRenderedPageBreak/>
        <w:t>Section 2: Strategic Pillars &amp; Strategies</w:t>
      </w:r>
    </w:p>
    <w:p w14:paraId="797A093D" w14:textId="77777777" w:rsidR="0003111B" w:rsidRDefault="00000000">
      <w:r>
        <w:t>Four pillars, reframed from the 2021 CEDS to reflect what the region has learned. Each nests within the Colorado statewide CEDS to ensure federal funding eligibility.</w:t>
      </w:r>
    </w:p>
    <w:tbl>
      <w:tblPr>
        <w:tblStyle w:val="a"/>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545"/>
        <w:gridCol w:w="2070"/>
        <w:gridCol w:w="1770"/>
        <w:gridCol w:w="4035"/>
      </w:tblGrid>
      <w:tr w:rsidR="0003111B" w14:paraId="797A0942" w14:textId="77777777">
        <w:tc>
          <w:tcPr>
            <w:tcW w:w="1545" w:type="dxa"/>
            <w:shd w:val="clear" w:color="auto" w:fill="316472"/>
          </w:tcPr>
          <w:p w14:paraId="797A093E" w14:textId="77777777" w:rsidR="0003111B" w:rsidRDefault="00000000">
            <w:r>
              <w:rPr>
                <w:b/>
                <w:bCs/>
                <w:color w:val="FFFFFF"/>
                <w:sz w:val="20"/>
                <w:szCs w:val="20"/>
              </w:rPr>
              <w:t>2021 Pillar</w:t>
            </w:r>
          </w:p>
        </w:tc>
        <w:tc>
          <w:tcPr>
            <w:tcW w:w="2070" w:type="dxa"/>
            <w:shd w:val="clear" w:color="auto" w:fill="316472"/>
          </w:tcPr>
          <w:p w14:paraId="797A093F" w14:textId="77777777" w:rsidR="0003111B" w:rsidRDefault="00000000">
            <w:r>
              <w:rPr>
                <w:b/>
                <w:bCs/>
                <w:color w:val="FFFFFF"/>
                <w:sz w:val="20"/>
                <w:szCs w:val="20"/>
              </w:rPr>
              <w:t>2026 Pillar</w:t>
            </w:r>
          </w:p>
        </w:tc>
        <w:tc>
          <w:tcPr>
            <w:tcW w:w="1770" w:type="dxa"/>
            <w:shd w:val="clear" w:color="auto" w:fill="316472"/>
          </w:tcPr>
          <w:p w14:paraId="797A0940" w14:textId="77777777" w:rsidR="0003111B" w:rsidRDefault="00000000">
            <w:r>
              <w:rPr>
                <w:b/>
                <w:bCs/>
                <w:color w:val="FFFFFF"/>
                <w:sz w:val="20"/>
                <w:szCs w:val="20"/>
              </w:rPr>
              <w:t>State CEDS Alignment</w:t>
            </w:r>
          </w:p>
        </w:tc>
        <w:tc>
          <w:tcPr>
            <w:tcW w:w="4035" w:type="dxa"/>
            <w:shd w:val="clear" w:color="auto" w:fill="316472"/>
          </w:tcPr>
          <w:p w14:paraId="797A0941" w14:textId="77777777" w:rsidR="0003111B" w:rsidRDefault="00000000">
            <w:r>
              <w:rPr>
                <w:b/>
                <w:bCs/>
                <w:color w:val="FFFFFF"/>
                <w:sz w:val="20"/>
                <w:szCs w:val="20"/>
              </w:rPr>
              <w:t>Why the Shift</w:t>
            </w:r>
          </w:p>
        </w:tc>
      </w:tr>
      <w:tr w:rsidR="0003111B" w14:paraId="797A0947" w14:textId="77777777">
        <w:tc>
          <w:tcPr>
            <w:tcW w:w="1545" w:type="dxa"/>
          </w:tcPr>
          <w:p w14:paraId="797A0943" w14:textId="77777777" w:rsidR="0003111B" w:rsidRDefault="00000000">
            <w:r>
              <w:rPr>
                <w:sz w:val="20"/>
                <w:szCs w:val="20"/>
              </w:rPr>
              <w:t>Workforce</w:t>
            </w:r>
          </w:p>
        </w:tc>
        <w:tc>
          <w:tcPr>
            <w:tcW w:w="2070" w:type="dxa"/>
          </w:tcPr>
          <w:p w14:paraId="797A0944" w14:textId="77777777" w:rsidR="0003111B" w:rsidRDefault="00000000">
            <w:r>
              <w:rPr>
                <w:sz w:val="20"/>
                <w:szCs w:val="20"/>
              </w:rPr>
              <w:t>Community Continuity</w:t>
            </w:r>
          </w:p>
        </w:tc>
        <w:tc>
          <w:tcPr>
            <w:tcW w:w="1770" w:type="dxa"/>
          </w:tcPr>
          <w:p w14:paraId="797A0945" w14:textId="77777777" w:rsidR="0003111B" w:rsidRDefault="00000000">
            <w:r>
              <w:rPr>
                <w:sz w:val="20"/>
                <w:szCs w:val="20"/>
              </w:rPr>
              <w:t>Housing; Job Creation</w:t>
            </w:r>
          </w:p>
        </w:tc>
        <w:tc>
          <w:tcPr>
            <w:tcW w:w="4035" w:type="dxa"/>
          </w:tcPr>
          <w:p w14:paraId="797A0946" w14:textId="77777777" w:rsidR="0003111B" w:rsidRDefault="00000000">
            <w:r>
              <w:rPr>
                <w:sz w:val="20"/>
                <w:szCs w:val="20"/>
              </w:rPr>
              <w:t>Not just filling jobs — sustaining functioning civic places with housing pathways, leadership pipelines, and intergenerational continuity.</w:t>
            </w:r>
          </w:p>
        </w:tc>
      </w:tr>
      <w:tr w:rsidR="0003111B" w14:paraId="797A094C" w14:textId="77777777">
        <w:tc>
          <w:tcPr>
            <w:tcW w:w="1545" w:type="dxa"/>
            <w:shd w:val="clear" w:color="auto" w:fill="F2F7F8"/>
          </w:tcPr>
          <w:p w14:paraId="797A0948" w14:textId="77777777" w:rsidR="0003111B" w:rsidRDefault="00000000">
            <w:r>
              <w:rPr>
                <w:sz w:val="20"/>
                <w:szCs w:val="20"/>
              </w:rPr>
              <w:t>Economy</w:t>
            </w:r>
          </w:p>
        </w:tc>
        <w:tc>
          <w:tcPr>
            <w:tcW w:w="2070" w:type="dxa"/>
            <w:shd w:val="clear" w:color="auto" w:fill="F2F7F8"/>
          </w:tcPr>
          <w:p w14:paraId="797A0949" w14:textId="77777777" w:rsidR="0003111B" w:rsidRDefault="00000000">
            <w:r>
              <w:rPr>
                <w:sz w:val="20"/>
                <w:szCs w:val="20"/>
              </w:rPr>
              <w:t>Economic Diversification</w:t>
            </w:r>
          </w:p>
        </w:tc>
        <w:tc>
          <w:tcPr>
            <w:tcW w:w="1770" w:type="dxa"/>
            <w:shd w:val="clear" w:color="auto" w:fill="F2F7F8"/>
          </w:tcPr>
          <w:p w14:paraId="797A094A" w14:textId="77777777" w:rsidR="0003111B" w:rsidRDefault="00000000">
            <w:r>
              <w:rPr>
                <w:sz w:val="20"/>
                <w:szCs w:val="20"/>
              </w:rPr>
              <w:t>Job Creation; Growing Strategic Industries</w:t>
            </w:r>
          </w:p>
        </w:tc>
        <w:tc>
          <w:tcPr>
            <w:tcW w:w="4035" w:type="dxa"/>
            <w:shd w:val="clear" w:color="auto" w:fill="F2F7F8"/>
          </w:tcPr>
          <w:p w14:paraId="797A094B" w14:textId="77777777" w:rsidR="0003111B" w:rsidRDefault="00000000">
            <w:r>
              <w:rPr>
                <w:sz w:val="20"/>
                <w:szCs w:val="20"/>
              </w:rPr>
              <w:t>Diversification is urgent after the low-snow season proved tourism vulnerability is immediate. AI, energy transition, and healthcare are concrete.</w:t>
            </w:r>
          </w:p>
        </w:tc>
      </w:tr>
      <w:tr w:rsidR="0003111B" w14:paraId="797A0951" w14:textId="77777777">
        <w:tc>
          <w:tcPr>
            <w:tcW w:w="1545" w:type="dxa"/>
          </w:tcPr>
          <w:p w14:paraId="797A094D" w14:textId="77777777" w:rsidR="0003111B" w:rsidRDefault="00000000">
            <w:r>
              <w:rPr>
                <w:sz w:val="20"/>
                <w:szCs w:val="20"/>
              </w:rPr>
              <w:t>Community</w:t>
            </w:r>
          </w:p>
        </w:tc>
        <w:tc>
          <w:tcPr>
            <w:tcW w:w="2070" w:type="dxa"/>
          </w:tcPr>
          <w:p w14:paraId="797A094E" w14:textId="77777777" w:rsidR="0003111B" w:rsidRDefault="00000000">
            <w:commentRangeStart w:id="1"/>
            <w:r>
              <w:rPr>
                <w:sz w:val="20"/>
                <w:szCs w:val="20"/>
              </w:rPr>
              <w:t>Destination Stewardship</w:t>
            </w:r>
            <w:commentRangeEnd w:id="1"/>
            <w:r>
              <w:rPr>
                <w:rStyle w:val="CommentReference"/>
                <w:sz w:val="22"/>
                <w:szCs w:val="22"/>
              </w:rPr>
              <w:commentReference w:id="1"/>
            </w:r>
          </w:p>
        </w:tc>
        <w:tc>
          <w:tcPr>
            <w:tcW w:w="1770" w:type="dxa"/>
          </w:tcPr>
          <w:p w14:paraId="797A094F" w14:textId="77777777" w:rsidR="0003111B" w:rsidRDefault="00000000">
            <w:r>
              <w:rPr>
                <w:sz w:val="20"/>
                <w:szCs w:val="20"/>
              </w:rPr>
              <w:t>Tourism + Quality of Life</w:t>
            </w:r>
          </w:p>
        </w:tc>
        <w:tc>
          <w:tcPr>
            <w:tcW w:w="4035" w:type="dxa"/>
          </w:tcPr>
          <w:p w14:paraId="797A0950" w14:textId="77777777" w:rsidR="0003111B" w:rsidRDefault="00000000">
            <w:r>
              <w:rPr>
                <w:sz w:val="20"/>
                <w:szCs w:val="20"/>
              </w:rPr>
              <w:t>Quality of life requires actively managing tourism and protecting natural assets. Survey respondents want the balance to shift toward residents.</w:t>
            </w:r>
          </w:p>
        </w:tc>
      </w:tr>
      <w:tr w:rsidR="0003111B" w14:paraId="797A0956" w14:textId="77777777">
        <w:tc>
          <w:tcPr>
            <w:tcW w:w="1545" w:type="dxa"/>
            <w:shd w:val="clear" w:color="auto" w:fill="F2F7F8"/>
          </w:tcPr>
          <w:p w14:paraId="797A0952" w14:textId="77777777" w:rsidR="0003111B" w:rsidRDefault="00000000">
            <w:r>
              <w:rPr>
                <w:sz w:val="20"/>
                <w:szCs w:val="20"/>
              </w:rPr>
              <w:t>Resiliency</w:t>
            </w:r>
          </w:p>
        </w:tc>
        <w:tc>
          <w:tcPr>
            <w:tcW w:w="2070" w:type="dxa"/>
            <w:shd w:val="clear" w:color="auto" w:fill="F2F7F8"/>
          </w:tcPr>
          <w:p w14:paraId="797A0953" w14:textId="77777777" w:rsidR="0003111B" w:rsidRDefault="00000000">
            <w:r>
              <w:rPr>
                <w:sz w:val="20"/>
                <w:szCs w:val="20"/>
              </w:rPr>
              <w:t>Regional Resilience</w:t>
            </w:r>
          </w:p>
        </w:tc>
        <w:tc>
          <w:tcPr>
            <w:tcW w:w="1770" w:type="dxa"/>
            <w:shd w:val="clear" w:color="auto" w:fill="F2F7F8"/>
          </w:tcPr>
          <w:p w14:paraId="797A0954" w14:textId="77777777" w:rsidR="0003111B" w:rsidRDefault="00000000">
            <w:r>
              <w:rPr>
                <w:sz w:val="20"/>
                <w:szCs w:val="20"/>
              </w:rPr>
              <w:t>Community Infrastructure + Resources</w:t>
            </w:r>
          </w:p>
        </w:tc>
        <w:tc>
          <w:tcPr>
            <w:tcW w:w="4035" w:type="dxa"/>
            <w:shd w:val="clear" w:color="auto" w:fill="F2F7F8"/>
          </w:tcPr>
          <w:p w14:paraId="797A0955" w14:textId="77777777" w:rsidR="0003111B" w:rsidRDefault="00000000">
            <w:r>
              <w:rPr>
                <w:sz w:val="20"/>
                <w:szCs w:val="20"/>
              </w:rPr>
              <w:t>Resilience means restructuring the economy for unreliable winters AND building the execution capacity to act on regional strategies.</w:t>
            </w:r>
          </w:p>
        </w:tc>
      </w:tr>
    </w:tbl>
    <w:p w14:paraId="797A0957" w14:textId="77777777" w:rsidR="0003111B" w:rsidRDefault="0003111B"/>
    <w:p w14:paraId="797A0958" w14:textId="77777777" w:rsidR="0003111B" w:rsidRDefault="00000000">
      <w:pPr>
        <w:pStyle w:val="Heading2"/>
      </w:pPr>
      <w:r>
        <w:t>Pillar 1: Community Continuity</w:t>
      </w:r>
    </w:p>
    <w:p w14:paraId="797A0959" w14:textId="77777777" w:rsidR="0003111B" w:rsidRDefault="00000000">
      <w:r>
        <w:rPr>
          <w:b/>
          <w:bCs/>
          <w:color w:val="1A2E44"/>
        </w:rPr>
        <w:t xml:space="preserve">Goal: </w:t>
      </w:r>
      <w:r>
        <w:t>Ensure the region’s communities can sustain themselves as functioning civic places where people can live, work, advance, and lead.</w:t>
      </w:r>
    </w:p>
    <w:p w14:paraId="797A095A" w14:textId="77777777" w:rsidR="0003111B" w:rsidRDefault="00000000">
      <w:r>
        <w:rPr>
          <w:i/>
          <w:iCs/>
        </w:rPr>
        <w:t xml:space="preserve">Jon Stavney’s framing from the kickoff: </w:t>
      </w:r>
      <w:r>
        <w:t>"Is community continuity a better word than workforce? We’re making strides on workforce, but then there’s the question of that missing middle — are they going to stay invested in the community, are they going to be the next leaders?"</w:t>
      </w:r>
    </w:p>
    <w:p w14:paraId="797A095B" w14:textId="77777777" w:rsidR="0003111B" w:rsidRDefault="00000000">
      <w:pPr>
        <w:pStyle w:val="Heading3"/>
      </w:pPr>
      <w:r>
        <w:t xml:space="preserve">Strategy 1.1: </w:t>
      </w:r>
      <w:commentRangeStart w:id="2"/>
      <w:r>
        <w:t>Close the Missing Middle Housing Gap</w:t>
      </w:r>
      <w:commentRangeEnd w:id="2"/>
      <w:r>
        <w:rPr>
          <w:rStyle w:val="CommentReference"/>
          <w:sz w:val="28"/>
          <w:szCs w:val="28"/>
        </w:rPr>
        <w:commentReference w:id="2"/>
      </w:r>
    </w:p>
    <w:tbl>
      <w:tblPr>
        <w:tblStyle w:val="a0"/>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250"/>
        <w:gridCol w:w="7170"/>
      </w:tblGrid>
      <w:tr w:rsidR="0003111B" w14:paraId="797A095E" w14:textId="77777777">
        <w:tc>
          <w:tcPr>
            <w:tcW w:w="2250" w:type="dxa"/>
            <w:shd w:val="clear" w:color="auto" w:fill="316472"/>
          </w:tcPr>
          <w:p w14:paraId="797A095C" w14:textId="77777777" w:rsidR="0003111B" w:rsidRDefault="00000000">
            <w:r>
              <w:rPr>
                <w:b/>
                <w:bCs/>
                <w:color w:val="FFFFFF"/>
                <w:sz w:val="20"/>
                <w:szCs w:val="20"/>
              </w:rPr>
              <w:t>Element</w:t>
            </w:r>
          </w:p>
        </w:tc>
        <w:tc>
          <w:tcPr>
            <w:tcW w:w="7170" w:type="dxa"/>
            <w:shd w:val="clear" w:color="auto" w:fill="316472"/>
          </w:tcPr>
          <w:p w14:paraId="797A095D" w14:textId="77777777" w:rsidR="0003111B" w:rsidRDefault="00000000">
            <w:r>
              <w:rPr>
                <w:b/>
                <w:bCs/>
                <w:color w:val="FFFFFF"/>
                <w:sz w:val="20"/>
                <w:szCs w:val="20"/>
              </w:rPr>
              <w:t>Detail</w:t>
            </w:r>
          </w:p>
        </w:tc>
      </w:tr>
      <w:tr w:rsidR="0003111B" w14:paraId="797A0961" w14:textId="77777777">
        <w:tc>
          <w:tcPr>
            <w:tcW w:w="2250" w:type="dxa"/>
          </w:tcPr>
          <w:p w14:paraId="797A095F" w14:textId="77777777" w:rsidR="0003111B" w:rsidRDefault="00000000">
            <w:r>
              <w:rPr>
                <w:sz w:val="20"/>
                <w:szCs w:val="20"/>
              </w:rPr>
              <w:t>Strategy</w:t>
            </w:r>
          </w:p>
        </w:tc>
        <w:tc>
          <w:tcPr>
            <w:tcW w:w="7170" w:type="dxa"/>
          </w:tcPr>
          <w:p w14:paraId="797A0960" w14:textId="77777777" w:rsidR="0003111B" w:rsidRDefault="00000000">
            <w:r>
              <w:rPr>
                <w:sz w:val="20"/>
                <w:szCs w:val="20"/>
              </w:rPr>
              <w:t>Create housing pathways connecting subsidized housing to homeownership, closing the structural gap that traps workers in perpetual renting or pushes them out.</w:t>
            </w:r>
          </w:p>
        </w:tc>
      </w:tr>
      <w:tr w:rsidR="0003111B" w14:paraId="797A0964" w14:textId="77777777">
        <w:tc>
          <w:tcPr>
            <w:tcW w:w="2250" w:type="dxa"/>
            <w:shd w:val="clear" w:color="auto" w:fill="F2F7F8"/>
          </w:tcPr>
          <w:p w14:paraId="797A0962" w14:textId="77777777" w:rsidR="0003111B" w:rsidRDefault="00000000">
            <w:r>
              <w:rPr>
                <w:sz w:val="20"/>
                <w:szCs w:val="20"/>
              </w:rPr>
              <w:t>Actions</w:t>
            </w:r>
          </w:p>
        </w:tc>
        <w:tc>
          <w:tcPr>
            <w:tcW w:w="7170" w:type="dxa"/>
            <w:shd w:val="clear" w:color="auto" w:fill="F2F7F8"/>
          </w:tcPr>
          <w:p w14:paraId="797A0963" w14:textId="77777777" w:rsidR="0003111B" w:rsidRDefault="00000000">
            <w:r>
              <w:rPr>
                <w:sz w:val="20"/>
                <w:szCs w:val="20"/>
              </w:rPr>
              <w:t>• Expand community land trust models as alternatives to deed-restriction</w:t>
            </w:r>
            <w:r>
              <w:rPr>
                <w:sz w:val="20"/>
                <w:szCs w:val="20"/>
              </w:rPr>
              <w:br/>
              <w:t xml:space="preserve">• </w:t>
            </w:r>
            <w:commentRangeStart w:id="3"/>
            <w:r>
              <w:rPr>
                <w:sz w:val="20"/>
                <w:szCs w:val="20"/>
              </w:rPr>
              <w:t>Launch employer-assisted housing programs (resorts, healthcare systems)</w:t>
            </w:r>
            <w:commentRangeEnd w:id="3"/>
            <w:r>
              <w:rPr>
                <w:rStyle w:val="CommentReference"/>
                <w:sz w:val="20"/>
                <w:szCs w:val="20"/>
              </w:rPr>
              <w:commentReference w:id="3"/>
            </w:r>
            <w:r>
              <w:rPr>
                <w:sz w:val="20"/>
                <w:szCs w:val="20"/>
              </w:rPr>
              <w:br/>
              <w:t>• Incentivize ADU and workforce housing through streamlined permitting</w:t>
            </w:r>
            <w:r>
              <w:rPr>
                <w:sz w:val="20"/>
                <w:szCs w:val="20"/>
              </w:rPr>
              <w:br/>
              <w:t>• Evaluate deed-restriction reform to allow limited equity building</w:t>
            </w:r>
            <w:r>
              <w:rPr>
                <w:sz w:val="20"/>
                <w:szCs w:val="20"/>
              </w:rPr>
              <w:br/>
              <w:t xml:space="preserve">• </w:t>
            </w:r>
            <w:commentRangeStart w:id="4"/>
            <w:r>
              <w:rPr>
                <w:sz w:val="20"/>
                <w:szCs w:val="20"/>
              </w:rPr>
              <w:t>Explore Mammoth Lakes’ “Lease to Locals” STR-conversion incentive</w:t>
            </w:r>
            <w:commentRangeEnd w:id="4"/>
            <w:r>
              <w:rPr>
                <w:rStyle w:val="CommentReference"/>
                <w:sz w:val="20"/>
                <w:szCs w:val="20"/>
              </w:rPr>
              <w:commentReference w:id="4"/>
            </w:r>
            <w:r>
              <w:rPr>
                <w:sz w:val="20"/>
                <w:szCs w:val="20"/>
              </w:rPr>
              <w:br/>
            </w:r>
            <w:r>
              <w:rPr>
                <w:sz w:val="20"/>
                <w:szCs w:val="20"/>
              </w:rPr>
              <w:lastRenderedPageBreak/>
              <w:t>• Explore Big Sky’s resort-tax bond model for community land trust financing</w:t>
            </w:r>
            <w:r>
              <w:rPr>
                <w:sz w:val="20"/>
                <w:szCs w:val="20"/>
              </w:rPr>
              <w:br/>
              <w:t>• Set a published regional workforce-housing target (Whistler: 75%, Jackson: 65%)</w:t>
            </w:r>
          </w:p>
        </w:tc>
      </w:tr>
      <w:tr w:rsidR="0003111B" w14:paraId="797A0967" w14:textId="77777777">
        <w:tc>
          <w:tcPr>
            <w:tcW w:w="2250" w:type="dxa"/>
          </w:tcPr>
          <w:p w14:paraId="797A0965" w14:textId="77777777" w:rsidR="0003111B" w:rsidRDefault="00000000">
            <w:r>
              <w:rPr>
                <w:sz w:val="20"/>
                <w:szCs w:val="20"/>
              </w:rPr>
              <w:lastRenderedPageBreak/>
              <w:t>Owner</w:t>
            </w:r>
          </w:p>
        </w:tc>
        <w:tc>
          <w:tcPr>
            <w:tcW w:w="7170" w:type="dxa"/>
          </w:tcPr>
          <w:p w14:paraId="797A0966" w14:textId="77777777" w:rsidR="0003111B" w:rsidRDefault="00000000">
            <w:r>
              <w:rPr>
                <w:sz w:val="20"/>
                <w:szCs w:val="20"/>
              </w:rPr>
              <w:t>[TO BE CLAIMED — County housing authorities? Resort operators? Hospital systems?]</w:t>
            </w:r>
          </w:p>
        </w:tc>
      </w:tr>
      <w:tr w:rsidR="0003111B" w14:paraId="797A096A" w14:textId="77777777">
        <w:tc>
          <w:tcPr>
            <w:tcW w:w="2250" w:type="dxa"/>
            <w:shd w:val="clear" w:color="auto" w:fill="F2F7F8"/>
          </w:tcPr>
          <w:p w14:paraId="797A0968" w14:textId="77777777" w:rsidR="0003111B" w:rsidRDefault="00000000">
            <w:r>
              <w:rPr>
                <w:sz w:val="20"/>
                <w:szCs w:val="20"/>
              </w:rPr>
              <w:t>Timeframe</w:t>
            </w:r>
          </w:p>
        </w:tc>
        <w:tc>
          <w:tcPr>
            <w:tcW w:w="7170" w:type="dxa"/>
            <w:shd w:val="clear" w:color="auto" w:fill="F2F7F8"/>
          </w:tcPr>
          <w:p w14:paraId="797A0969" w14:textId="77777777" w:rsidR="0003111B" w:rsidRDefault="00000000">
            <w:r>
              <w:rPr>
                <w:sz w:val="20"/>
                <w:szCs w:val="20"/>
              </w:rPr>
              <w:t>Short-term (policy) + Long-term (production)</w:t>
            </w:r>
          </w:p>
        </w:tc>
      </w:tr>
      <w:tr w:rsidR="0003111B" w14:paraId="797A096D" w14:textId="77777777">
        <w:tc>
          <w:tcPr>
            <w:tcW w:w="2250" w:type="dxa"/>
          </w:tcPr>
          <w:p w14:paraId="797A096B" w14:textId="77777777" w:rsidR="0003111B" w:rsidRDefault="00000000">
            <w:r>
              <w:rPr>
                <w:sz w:val="20"/>
                <w:szCs w:val="20"/>
              </w:rPr>
              <w:t>From 2021 CEDS?</w:t>
            </w:r>
          </w:p>
        </w:tc>
        <w:tc>
          <w:tcPr>
            <w:tcW w:w="7170" w:type="dxa"/>
          </w:tcPr>
          <w:p w14:paraId="797A096C" w14:textId="77777777" w:rsidR="0003111B" w:rsidRDefault="00000000">
            <w:r>
              <w:rPr>
                <w:sz w:val="20"/>
                <w:szCs w:val="20"/>
              </w:rPr>
              <w:t>Housing was a 2021 priority. Reframed around pathways, equity, and peer-tested tools.</w:t>
            </w:r>
          </w:p>
        </w:tc>
      </w:tr>
    </w:tbl>
    <w:p w14:paraId="797A096E" w14:textId="77777777" w:rsidR="0003111B" w:rsidRDefault="0003111B"/>
    <w:p w14:paraId="797A096F" w14:textId="77777777" w:rsidR="0003111B" w:rsidRDefault="00000000">
      <w:pPr>
        <w:pStyle w:val="Heading3"/>
      </w:pPr>
      <w:r>
        <w:t>Strategy 1.2: Build the Next Generation of Civic Leaders</w:t>
      </w:r>
    </w:p>
    <w:tbl>
      <w:tblPr>
        <w:tblStyle w:val="a1"/>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860"/>
        <w:gridCol w:w="7560"/>
      </w:tblGrid>
      <w:tr w:rsidR="0003111B" w14:paraId="797A0972" w14:textId="77777777">
        <w:tc>
          <w:tcPr>
            <w:tcW w:w="1860" w:type="dxa"/>
            <w:shd w:val="clear" w:color="auto" w:fill="316472"/>
          </w:tcPr>
          <w:p w14:paraId="797A0970" w14:textId="77777777" w:rsidR="0003111B" w:rsidRDefault="00000000">
            <w:r>
              <w:rPr>
                <w:b/>
                <w:bCs/>
                <w:color w:val="FFFFFF"/>
                <w:sz w:val="20"/>
                <w:szCs w:val="20"/>
              </w:rPr>
              <w:t>Element</w:t>
            </w:r>
          </w:p>
        </w:tc>
        <w:tc>
          <w:tcPr>
            <w:tcW w:w="7560" w:type="dxa"/>
            <w:shd w:val="clear" w:color="auto" w:fill="316472"/>
          </w:tcPr>
          <w:p w14:paraId="797A0971" w14:textId="77777777" w:rsidR="0003111B" w:rsidRDefault="00000000">
            <w:r>
              <w:rPr>
                <w:b/>
                <w:bCs/>
                <w:color w:val="FFFFFF"/>
                <w:sz w:val="20"/>
                <w:szCs w:val="20"/>
              </w:rPr>
              <w:t>Detail</w:t>
            </w:r>
          </w:p>
        </w:tc>
      </w:tr>
      <w:tr w:rsidR="0003111B" w14:paraId="797A0975" w14:textId="77777777">
        <w:tc>
          <w:tcPr>
            <w:tcW w:w="1860" w:type="dxa"/>
          </w:tcPr>
          <w:p w14:paraId="797A0973" w14:textId="77777777" w:rsidR="0003111B" w:rsidRDefault="00000000">
            <w:r>
              <w:rPr>
                <w:sz w:val="20"/>
                <w:szCs w:val="20"/>
              </w:rPr>
              <w:t>Strategy</w:t>
            </w:r>
          </w:p>
        </w:tc>
        <w:tc>
          <w:tcPr>
            <w:tcW w:w="7560" w:type="dxa"/>
          </w:tcPr>
          <w:p w14:paraId="797A0974" w14:textId="77777777" w:rsidR="0003111B" w:rsidRDefault="00000000">
            <w:r>
              <w:rPr>
                <w:sz w:val="20"/>
                <w:szCs w:val="20"/>
              </w:rPr>
              <w:t>Create a deliberate pipeline of community leaders in the 25–45 age bracket to fill the governance vacuum.</w:t>
            </w:r>
          </w:p>
        </w:tc>
      </w:tr>
      <w:tr w:rsidR="0003111B" w14:paraId="797A0978" w14:textId="77777777">
        <w:tc>
          <w:tcPr>
            <w:tcW w:w="1860" w:type="dxa"/>
            <w:shd w:val="clear" w:color="auto" w:fill="F2F7F8"/>
          </w:tcPr>
          <w:p w14:paraId="797A0976" w14:textId="77777777" w:rsidR="0003111B" w:rsidRDefault="00000000">
            <w:r>
              <w:rPr>
                <w:sz w:val="20"/>
                <w:szCs w:val="20"/>
              </w:rPr>
              <w:t>Actions</w:t>
            </w:r>
          </w:p>
        </w:tc>
        <w:tc>
          <w:tcPr>
            <w:tcW w:w="7560" w:type="dxa"/>
            <w:shd w:val="clear" w:color="auto" w:fill="F2F7F8"/>
          </w:tcPr>
          <w:p w14:paraId="797A0977" w14:textId="77777777" w:rsidR="0003111B" w:rsidRDefault="00000000">
            <w:r>
              <w:rPr>
                <w:sz w:val="20"/>
                <w:szCs w:val="20"/>
              </w:rPr>
              <w:t>• Regional leadership development program targeting emerging leaders</w:t>
            </w:r>
            <w:r>
              <w:rPr>
                <w:sz w:val="20"/>
                <w:szCs w:val="20"/>
              </w:rPr>
              <w:br/>
              <w:t xml:space="preserve">• </w:t>
            </w:r>
            <w:commentRangeStart w:id="5"/>
            <w:r>
              <w:rPr>
                <w:sz w:val="20"/>
                <w:szCs w:val="20"/>
              </w:rPr>
              <w:t>Reduce barriers to local government participation</w:t>
            </w:r>
            <w:commentRangeEnd w:id="5"/>
            <w:r>
              <w:rPr>
                <w:rStyle w:val="CommentReference"/>
                <w:sz w:val="20"/>
                <w:szCs w:val="20"/>
              </w:rPr>
              <w:commentReference w:id="5"/>
            </w:r>
            <w:r>
              <w:rPr>
                <w:sz w:val="20"/>
                <w:szCs w:val="20"/>
              </w:rPr>
              <w:t xml:space="preserve"> (compensation, meeting times, childcare)</w:t>
            </w:r>
            <w:r>
              <w:rPr>
                <w:sz w:val="20"/>
                <w:szCs w:val="20"/>
              </w:rPr>
              <w:br/>
              <w:t>• Mentor pairing: retiring boomers with next-generation candidates</w:t>
            </w:r>
            <w:r>
              <w:rPr>
                <w:sz w:val="20"/>
                <w:szCs w:val="20"/>
              </w:rPr>
              <w:br/>
              <w:t xml:space="preserve">• </w:t>
            </w:r>
            <w:commentRangeStart w:id="6"/>
            <w:r>
              <w:rPr>
                <w:sz w:val="20"/>
                <w:szCs w:val="20"/>
              </w:rPr>
              <w:t>CMC civic engagement curriculum</w:t>
            </w:r>
            <w:commentRangeEnd w:id="6"/>
            <w:r>
              <w:rPr>
                <w:rStyle w:val="CommentReference"/>
                <w:sz w:val="20"/>
                <w:szCs w:val="20"/>
              </w:rPr>
              <w:commentReference w:id="6"/>
            </w:r>
            <w:r>
              <w:rPr>
                <w:sz w:val="20"/>
                <w:szCs w:val="20"/>
              </w:rPr>
              <w:br/>
              <w:t>• Track local election participation as a regional metric</w:t>
            </w:r>
          </w:p>
        </w:tc>
      </w:tr>
      <w:tr w:rsidR="0003111B" w14:paraId="797A097B" w14:textId="77777777">
        <w:tc>
          <w:tcPr>
            <w:tcW w:w="1860" w:type="dxa"/>
          </w:tcPr>
          <w:p w14:paraId="797A0979" w14:textId="77777777" w:rsidR="0003111B" w:rsidRDefault="00000000">
            <w:r>
              <w:rPr>
                <w:sz w:val="20"/>
                <w:szCs w:val="20"/>
              </w:rPr>
              <w:t>Owner</w:t>
            </w:r>
          </w:p>
        </w:tc>
        <w:tc>
          <w:tcPr>
            <w:tcW w:w="7560" w:type="dxa"/>
          </w:tcPr>
          <w:p w14:paraId="797A097A" w14:textId="77777777" w:rsidR="0003111B" w:rsidRDefault="00000000">
            <w:r>
              <w:rPr>
                <w:sz w:val="20"/>
                <w:szCs w:val="20"/>
              </w:rPr>
              <w:t>[TO BE CLAIMED — County governments? CMC? Community foundations?]</w:t>
            </w:r>
          </w:p>
        </w:tc>
      </w:tr>
      <w:tr w:rsidR="0003111B" w14:paraId="797A097E" w14:textId="77777777">
        <w:tc>
          <w:tcPr>
            <w:tcW w:w="1860" w:type="dxa"/>
            <w:shd w:val="clear" w:color="auto" w:fill="F2F7F8"/>
          </w:tcPr>
          <w:p w14:paraId="797A097C" w14:textId="77777777" w:rsidR="0003111B" w:rsidRDefault="00000000">
            <w:r>
              <w:rPr>
                <w:sz w:val="20"/>
                <w:szCs w:val="20"/>
              </w:rPr>
              <w:t>Timeframe</w:t>
            </w:r>
          </w:p>
        </w:tc>
        <w:tc>
          <w:tcPr>
            <w:tcW w:w="7560" w:type="dxa"/>
            <w:shd w:val="clear" w:color="auto" w:fill="F2F7F8"/>
          </w:tcPr>
          <w:p w14:paraId="797A097D" w14:textId="77777777" w:rsidR="0003111B" w:rsidRDefault="00000000">
            <w:r>
              <w:rPr>
                <w:sz w:val="20"/>
                <w:szCs w:val="20"/>
              </w:rPr>
              <w:t>Medium-term (2–3 year program development)</w:t>
            </w:r>
          </w:p>
        </w:tc>
      </w:tr>
      <w:tr w:rsidR="0003111B" w14:paraId="797A0981" w14:textId="77777777">
        <w:tc>
          <w:tcPr>
            <w:tcW w:w="1860" w:type="dxa"/>
          </w:tcPr>
          <w:p w14:paraId="797A097F" w14:textId="77777777" w:rsidR="0003111B" w:rsidRDefault="00000000">
            <w:r>
              <w:rPr>
                <w:sz w:val="20"/>
                <w:szCs w:val="20"/>
              </w:rPr>
              <w:t>From 2021 CEDS?</w:t>
            </w:r>
          </w:p>
        </w:tc>
        <w:tc>
          <w:tcPr>
            <w:tcW w:w="7560" w:type="dxa"/>
          </w:tcPr>
          <w:p w14:paraId="797A0980" w14:textId="77777777" w:rsidR="0003111B" w:rsidRDefault="00000000">
            <w:r>
              <w:rPr>
                <w:sz w:val="20"/>
                <w:szCs w:val="20"/>
              </w:rPr>
              <w:t>NEW — Not in 2021 CEDS</w:t>
            </w:r>
          </w:p>
        </w:tc>
      </w:tr>
    </w:tbl>
    <w:p w14:paraId="797A0982" w14:textId="77777777" w:rsidR="0003111B" w:rsidRDefault="0003111B"/>
    <w:p w14:paraId="797A0983" w14:textId="77777777" w:rsidR="0003111B" w:rsidRDefault="00000000">
      <w:pPr>
        <w:pStyle w:val="Heading3"/>
      </w:pPr>
      <w:r>
        <w:t>Strategy 1.3: Replicate the CareerWise Apprenticeship Model Region-Wide</w:t>
      </w:r>
    </w:p>
    <w:tbl>
      <w:tblPr>
        <w:tblStyle w:val="a2"/>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785"/>
        <w:gridCol w:w="7635"/>
      </w:tblGrid>
      <w:tr w:rsidR="0003111B" w14:paraId="797A0986" w14:textId="77777777">
        <w:tc>
          <w:tcPr>
            <w:tcW w:w="1785" w:type="dxa"/>
            <w:shd w:val="clear" w:color="auto" w:fill="316472"/>
          </w:tcPr>
          <w:p w14:paraId="797A0984" w14:textId="77777777" w:rsidR="0003111B" w:rsidRDefault="00000000">
            <w:r>
              <w:rPr>
                <w:b/>
                <w:bCs/>
                <w:color w:val="FFFFFF"/>
                <w:sz w:val="20"/>
                <w:szCs w:val="20"/>
              </w:rPr>
              <w:t>Element</w:t>
            </w:r>
          </w:p>
        </w:tc>
        <w:tc>
          <w:tcPr>
            <w:tcW w:w="7635" w:type="dxa"/>
            <w:shd w:val="clear" w:color="auto" w:fill="316472"/>
          </w:tcPr>
          <w:p w14:paraId="797A0985" w14:textId="77777777" w:rsidR="0003111B" w:rsidRDefault="00000000">
            <w:r>
              <w:rPr>
                <w:b/>
                <w:bCs/>
                <w:color w:val="FFFFFF"/>
                <w:sz w:val="20"/>
                <w:szCs w:val="20"/>
              </w:rPr>
              <w:t>Detail</w:t>
            </w:r>
          </w:p>
        </w:tc>
      </w:tr>
      <w:tr w:rsidR="0003111B" w14:paraId="797A0989" w14:textId="77777777">
        <w:tc>
          <w:tcPr>
            <w:tcW w:w="1785" w:type="dxa"/>
          </w:tcPr>
          <w:p w14:paraId="797A0987" w14:textId="77777777" w:rsidR="0003111B" w:rsidRDefault="00000000">
            <w:r>
              <w:rPr>
                <w:sz w:val="20"/>
                <w:szCs w:val="20"/>
              </w:rPr>
              <w:t>Strategy</w:t>
            </w:r>
          </w:p>
        </w:tc>
        <w:tc>
          <w:tcPr>
            <w:tcW w:w="7635" w:type="dxa"/>
          </w:tcPr>
          <w:p w14:paraId="797A0988" w14:textId="77777777" w:rsidR="0003111B" w:rsidRDefault="00000000">
            <w:r>
              <w:rPr>
                <w:sz w:val="20"/>
                <w:szCs w:val="20"/>
              </w:rPr>
              <w:t>Expand Eagle County’s proven youth apprenticeship program to every county in the region.</w:t>
            </w:r>
          </w:p>
        </w:tc>
      </w:tr>
      <w:tr w:rsidR="0003111B" w14:paraId="797A098C" w14:textId="77777777">
        <w:tc>
          <w:tcPr>
            <w:tcW w:w="1785" w:type="dxa"/>
            <w:shd w:val="clear" w:color="auto" w:fill="F2F7F8"/>
          </w:tcPr>
          <w:p w14:paraId="797A098A" w14:textId="77777777" w:rsidR="0003111B" w:rsidRDefault="00000000">
            <w:r>
              <w:rPr>
                <w:sz w:val="20"/>
                <w:szCs w:val="20"/>
              </w:rPr>
              <w:t>Actions</w:t>
            </w:r>
          </w:p>
        </w:tc>
        <w:tc>
          <w:tcPr>
            <w:tcW w:w="7635" w:type="dxa"/>
            <w:shd w:val="clear" w:color="auto" w:fill="F2F7F8"/>
          </w:tcPr>
          <w:p w14:paraId="797A098B" w14:textId="77777777" w:rsidR="0003111B" w:rsidRDefault="00000000">
            <w:r>
              <w:rPr>
                <w:sz w:val="20"/>
                <w:szCs w:val="20"/>
              </w:rPr>
              <w:t>• Document the Eagle County playbook (school district + CMC + chamber + workforce center)</w:t>
            </w:r>
            <w:r>
              <w:rPr>
                <w:sz w:val="20"/>
                <w:szCs w:val="20"/>
              </w:rPr>
              <w:br/>
              <w:t>• Identify institutional hosts in each county (chamber, economic development org, or CMC campus)</w:t>
            </w:r>
            <w:r>
              <w:rPr>
                <w:sz w:val="20"/>
                <w:szCs w:val="20"/>
              </w:rPr>
              <w:br/>
              <w:t>• Build community coalition letters of support (Eric’s model: every town, special district, major employer signed on before launch)</w:t>
            </w:r>
            <w:r>
              <w:rPr>
                <w:sz w:val="20"/>
                <w:szCs w:val="20"/>
              </w:rPr>
              <w:br/>
              <w:t>• Start with maintenance tech and construction — highest current demand</w:t>
            </w:r>
            <w:r>
              <w:rPr>
                <w:sz w:val="20"/>
                <w:szCs w:val="20"/>
              </w:rPr>
              <w:br/>
              <w:t>• Target 30+ apprentices per county within 3 years</w:t>
            </w:r>
          </w:p>
        </w:tc>
      </w:tr>
      <w:tr w:rsidR="0003111B" w14:paraId="797A098F" w14:textId="77777777">
        <w:tc>
          <w:tcPr>
            <w:tcW w:w="1785" w:type="dxa"/>
          </w:tcPr>
          <w:p w14:paraId="797A098D" w14:textId="77777777" w:rsidR="0003111B" w:rsidRDefault="00000000">
            <w:r>
              <w:rPr>
                <w:sz w:val="20"/>
                <w:szCs w:val="20"/>
              </w:rPr>
              <w:t>Owner</w:t>
            </w:r>
          </w:p>
        </w:tc>
        <w:tc>
          <w:tcPr>
            <w:tcW w:w="7635" w:type="dxa"/>
          </w:tcPr>
          <w:p w14:paraId="797A098E" w14:textId="77777777" w:rsidR="0003111B" w:rsidRDefault="00000000">
            <w:r>
              <w:rPr>
                <w:sz w:val="20"/>
                <w:szCs w:val="20"/>
              </w:rPr>
              <w:t>[TO BE CLAIMED — Vail Valley Partnership as mentor? CMC? County workforce centers?]</w:t>
            </w:r>
          </w:p>
        </w:tc>
      </w:tr>
      <w:tr w:rsidR="0003111B" w14:paraId="797A0992" w14:textId="77777777">
        <w:tc>
          <w:tcPr>
            <w:tcW w:w="1785" w:type="dxa"/>
            <w:shd w:val="clear" w:color="auto" w:fill="F2F7F8"/>
          </w:tcPr>
          <w:p w14:paraId="797A0990" w14:textId="77777777" w:rsidR="0003111B" w:rsidRDefault="00000000">
            <w:r>
              <w:rPr>
                <w:sz w:val="20"/>
                <w:szCs w:val="20"/>
              </w:rPr>
              <w:t>Timeframe</w:t>
            </w:r>
          </w:p>
        </w:tc>
        <w:tc>
          <w:tcPr>
            <w:tcW w:w="7635" w:type="dxa"/>
            <w:shd w:val="clear" w:color="auto" w:fill="F2F7F8"/>
          </w:tcPr>
          <w:p w14:paraId="797A0991" w14:textId="77777777" w:rsidR="0003111B" w:rsidRDefault="00000000">
            <w:r>
              <w:rPr>
                <w:sz w:val="20"/>
                <w:szCs w:val="20"/>
              </w:rPr>
              <w:t>Short-term (can launch within 12–18 months with institutional host)</w:t>
            </w:r>
          </w:p>
        </w:tc>
      </w:tr>
      <w:tr w:rsidR="0003111B" w14:paraId="797A0995" w14:textId="77777777">
        <w:tc>
          <w:tcPr>
            <w:tcW w:w="1785" w:type="dxa"/>
          </w:tcPr>
          <w:p w14:paraId="797A0993" w14:textId="77777777" w:rsidR="0003111B" w:rsidRDefault="00000000">
            <w:r>
              <w:rPr>
                <w:sz w:val="20"/>
                <w:szCs w:val="20"/>
              </w:rPr>
              <w:t>From 2021 CEDS?</w:t>
            </w:r>
          </w:p>
        </w:tc>
        <w:tc>
          <w:tcPr>
            <w:tcW w:w="7635" w:type="dxa"/>
          </w:tcPr>
          <w:p w14:paraId="797A0994" w14:textId="77777777" w:rsidR="0003111B" w:rsidRDefault="00000000">
            <w:r>
              <w:rPr>
                <w:sz w:val="20"/>
                <w:szCs w:val="20"/>
              </w:rPr>
              <w:t>NEW — Not in 2021 CEDS. Proven model with ~100 placements.</w:t>
            </w:r>
          </w:p>
        </w:tc>
      </w:tr>
    </w:tbl>
    <w:p w14:paraId="797A0996" w14:textId="77777777" w:rsidR="0003111B" w:rsidRDefault="0003111B"/>
    <w:p w14:paraId="797A0997" w14:textId="77777777" w:rsidR="0003111B" w:rsidRDefault="00000000">
      <w:pPr>
        <w:pStyle w:val="Heading3"/>
      </w:pPr>
      <w:r>
        <w:t>Strategy 1.4: Integrate New Residents into Community Fabric</w:t>
      </w:r>
    </w:p>
    <w:tbl>
      <w:tblPr>
        <w:tblStyle w:val="a3"/>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920"/>
        <w:gridCol w:w="7500"/>
      </w:tblGrid>
      <w:tr w:rsidR="0003111B" w14:paraId="797A099A" w14:textId="77777777">
        <w:tc>
          <w:tcPr>
            <w:tcW w:w="1920" w:type="dxa"/>
            <w:shd w:val="clear" w:color="auto" w:fill="316472"/>
          </w:tcPr>
          <w:p w14:paraId="797A0998" w14:textId="77777777" w:rsidR="0003111B" w:rsidRDefault="00000000">
            <w:r>
              <w:rPr>
                <w:b/>
                <w:bCs/>
                <w:color w:val="FFFFFF"/>
                <w:sz w:val="20"/>
                <w:szCs w:val="20"/>
              </w:rPr>
              <w:t>Element</w:t>
            </w:r>
          </w:p>
        </w:tc>
        <w:tc>
          <w:tcPr>
            <w:tcW w:w="7500" w:type="dxa"/>
            <w:shd w:val="clear" w:color="auto" w:fill="316472"/>
          </w:tcPr>
          <w:p w14:paraId="797A0999" w14:textId="77777777" w:rsidR="0003111B" w:rsidRDefault="00000000">
            <w:r>
              <w:rPr>
                <w:b/>
                <w:bCs/>
                <w:color w:val="FFFFFF"/>
                <w:sz w:val="20"/>
                <w:szCs w:val="20"/>
              </w:rPr>
              <w:t>Detail</w:t>
            </w:r>
          </w:p>
        </w:tc>
      </w:tr>
      <w:tr w:rsidR="0003111B" w14:paraId="797A099D" w14:textId="77777777">
        <w:tc>
          <w:tcPr>
            <w:tcW w:w="1920" w:type="dxa"/>
          </w:tcPr>
          <w:p w14:paraId="797A099B" w14:textId="77777777" w:rsidR="0003111B" w:rsidRDefault="00000000">
            <w:r>
              <w:rPr>
                <w:sz w:val="20"/>
                <w:szCs w:val="20"/>
              </w:rPr>
              <w:t>Strategy</w:t>
            </w:r>
          </w:p>
        </w:tc>
        <w:tc>
          <w:tcPr>
            <w:tcW w:w="7500" w:type="dxa"/>
          </w:tcPr>
          <w:p w14:paraId="797A099C" w14:textId="77777777" w:rsidR="0003111B" w:rsidRDefault="00000000">
            <w:r>
              <w:rPr>
                <w:sz w:val="20"/>
                <w:szCs w:val="20"/>
              </w:rPr>
              <w:t>Proactively welcome and integrate the post-2020 wave of new residents so they contribute to civic life.</w:t>
            </w:r>
          </w:p>
        </w:tc>
      </w:tr>
      <w:tr w:rsidR="0003111B" w14:paraId="797A09A0" w14:textId="77777777">
        <w:tc>
          <w:tcPr>
            <w:tcW w:w="1920" w:type="dxa"/>
            <w:shd w:val="clear" w:color="auto" w:fill="F2F7F8"/>
          </w:tcPr>
          <w:p w14:paraId="797A099E" w14:textId="77777777" w:rsidR="0003111B" w:rsidRDefault="00000000">
            <w:r>
              <w:rPr>
                <w:sz w:val="20"/>
                <w:szCs w:val="20"/>
              </w:rPr>
              <w:t>Actions</w:t>
            </w:r>
          </w:p>
        </w:tc>
        <w:tc>
          <w:tcPr>
            <w:tcW w:w="7500" w:type="dxa"/>
            <w:shd w:val="clear" w:color="auto" w:fill="F2F7F8"/>
          </w:tcPr>
          <w:p w14:paraId="797A099F" w14:textId="77777777" w:rsidR="0003111B" w:rsidRDefault="00000000">
            <w:r>
              <w:rPr>
                <w:sz w:val="20"/>
                <w:szCs w:val="20"/>
              </w:rPr>
              <w:t>• Municipal newcomer orientation programs</w:t>
            </w:r>
            <w:r>
              <w:rPr>
                <w:sz w:val="20"/>
                <w:szCs w:val="20"/>
              </w:rPr>
              <w:br/>
              <w:t>• Volunteer-to-governance pathways (board/commission recruitment from volunteer base)</w:t>
            </w:r>
            <w:r>
              <w:rPr>
                <w:sz w:val="20"/>
                <w:szCs w:val="20"/>
              </w:rPr>
              <w:br/>
              <w:t>• Community ambassador programs pairing established and new residents</w:t>
            </w:r>
            <w:r>
              <w:rPr>
                <w:sz w:val="20"/>
                <w:szCs w:val="20"/>
              </w:rPr>
              <w:br/>
              <w:t>• Address “last one in, close the door” dynamic identified in community survey</w:t>
            </w:r>
          </w:p>
        </w:tc>
      </w:tr>
      <w:tr w:rsidR="0003111B" w14:paraId="797A09A3" w14:textId="77777777">
        <w:tc>
          <w:tcPr>
            <w:tcW w:w="1920" w:type="dxa"/>
          </w:tcPr>
          <w:p w14:paraId="797A09A1" w14:textId="77777777" w:rsidR="0003111B" w:rsidRDefault="00000000">
            <w:r>
              <w:rPr>
                <w:sz w:val="20"/>
                <w:szCs w:val="20"/>
              </w:rPr>
              <w:t>Owner</w:t>
            </w:r>
          </w:p>
        </w:tc>
        <w:tc>
          <w:tcPr>
            <w:tcW w:w="7500" w:type="dxa"/>
          </w:tcPr>
          <w:p w14:paraId="797A09A2" w14:textId="77777777" w:rsidR="0003111B" w:rsidRDefault="00000000">
            <w:r>
              <w:rPr>
                <w:sz w:val="20"/>
                <w:szCs w:val="20"/>
              </w:rPr>
              <w:t>[TO BE CLAIMED — Town managers? Chambers? Neighborhood organizations?]</w:t>
            </w:r>
          </w:p>
        </w:tc>
      </w:tr>
      <w:tr w:rsidR="0003111B" w14:paraId="797A09A6" w14:textId="77777777">
        <w:tc>
          <w:tcPr>
            <w:tcW w:w="1920" w:type="dxa"/>
            <w:shd w:val="clear" w:color="auto" w:fill="F2F7F8"/>
          </w:tcPr>
          <w:p w14:paraId="797A09A4" w14:textId="77777777" w:rsidR="0003111B" w:rsidRDefault="00000000">
            <w:r>
              <w:rPr>
                <w:sz w:val="20"/>
                <w:szCs w:val="20"/>
              </w:rPr>
              <w:t>Timeframe</w:t>
            </w:r>
          </w:p>
        </w:tc>
        <w:tc>
          <w:tcPr>
            <w:tcW w:w="7500" w:type="dxa"/>
            <w:shd w:val="clear" w:color="auto" w:fill="F2F7F8"/>
          </w:tcPr>
          <w:p w14:paraId="797A09A5" w14:textId="77777777" w:rsidR="0003111B" w:rsidRDefault="00000000">
            <w:r>
              <w:rPr>
                <w:sz w:val="20"/>
                <w:szCs w:val="20"/>
              </w:rPr>
              <w:t>Short-term (can launch within 12 months)</w:t>
            </w:r>
          </w:p>
        </w:tc>
      </w:tr>
      <w:tr w:rsidR="0003111B" w14:paraId="797A09A9" w14:textId="77777777">
        <w:tc>
          <w:tcPr>
            <w:tcW w:w="1920" w:type="dxa"/>
          </w:tcPr>
          <w:p w14:paraId="797A09A7" w14:textId="77777777" w:rsidR="0003111B" w:rsidRDefault="00000000">
            <w:r>
              <w:rPr>
                <w:sz w:val="20"/>
                <w:szCs w:val="20"/>
              </w:rPr>
              <w:t>From 2021 CEDS?</w:t>
            </w:r>
          </w:p>
        </w:tc>
        <w:tc>
          <w:tcPr>
            <w:tcW w:w="7500" w:type="dxa"/>
          </w:tcPr>
          <w:p w14:paraId="797A09A8" w14:textId="77777777" w:rsidR="0003111B" w:rsidRDefault="00000000">
            <w:r>
              <w:rPr>
                <w:sz w:val="20"/>
                <w:szCs w:val="20"/>
              </w:rPr>
              <w:t>NEW — Not in 2021 CEDS</w:t>
            </w:r>
          </w:p>
        </w:tc>
      </w:tr>
    </w:tbl>
    <w:p w14:paraId="797A09AA" w14:textId="77777777" w:rsidR="0003111B" w:rsidRDefault="0003111B"/>
    <w:p w14:paraId="797A09AB" w14:textId="77777777" w:rsidR="0003111B" w:rsidRDefault="00000000">
      <w:pPr>
        <w:pStyle w:val="Heading2"/>
      </w:pPr>
      <w:r>
        <w:t>Pillar 2: Economic Diversification</w:t>
      </w:r>
    </w:p>
    <w:p w14:paraId="797A09AC" w14:textId="77777777" w:rsidR="0003111B" w:rsidRDefault="00000000">
      <w:r>
        <w:rPr>
          <w:b/>
          <w:bCs/>
          <w:color w:val="1A2E44"/>
        </w:rPr>
        <w:t xml:space="preserve">Goal: </w:t>
      </w:r>
      <w:r>
        <w:t>Build concrete alternative economic engines so the region’s prosperity does not depend on snow falling and tourists arriving.</w:t>
      </w:r>
    </w:p>
    <w:p w14:paraId="797A09AD" w14:textId="77777777" w:rsidR="0003111B" w:rsidRDefault="00000000">
      <w:pPr>
        <w:pStyle w:val="Heading3"/>
      </w:pPr>
      <w:r>
        <w:t>Strategy 2.1: Accelerate the AI/Tech Entrepreneurship Ecosystem</w:t>
      </w:r>
    </w:p>
    <w:tbl>
      <w:tblPr>
        <w:tblStyle w:val="a4"/>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800"/>
        <w:gridCol w:w="7620"/>
      </w:tblGrid>
      <w:tr w:rsidR="0003111B" w14:paraId="797A09B0" w14:textId="77777777">
        <w:tc>
          <w:tcPr>
            <w:tcW w:w="1800" w:type="dxa"/>
            <w:shd w:val="clear" w:color="auto" w:fill="316472"/>
          </w:tcPr>
          <w:p w14:paraId="797A09AE" w14:textId="77777777" w:rsidR="0003111B" w:rsidRDefault="00000000">
            <w:r>
              <w:rPr>
                <w:b/>
                <w:bCs/>
                <w:color w:val="FFFFFF"/>
                <w:sz w:val="20"/>
                <w:szCs w:val="20"/>
              </w:rPr>
              <w:t>Element</w:t>
            </w:r>
          </w:p>
        </w:tc>
        <w:tc>
          <w:tcPr>
            <w:tcW w:w="7620" w:type="dxa"/>
            <w:shd w:val="clear" w:color="auto" w:fill="316472"/>
          </w:tcPr>
          <w:p w14:paraId="797A09AF" w14:textId="77777777" w:rsidR="0003111B" w:rsidRDefault="00000000">
            <w:r>
              <w:rPr>
                <w:b/>
                <w:bCs/>
                <w:color w:val="FFFFFF"/>
                <w:sz w:val="20"/>
                <w:szCs w:val="20"/>
              </w:rPr>
              <w:t>Detail</w:t>
            </w:r>
          </w:p>
        </w:tc>
      </w:tr>
      <w:tr w:rsidR="0003111B" w14:paraId="797A09B3" w14:textId="77777777">
        <w:tc>
          <w:tcPr>
            <w:tcW w:w="1800" w:type="dxa"/>
          </w:tcPr>
          <w:p w14:paraId="797A09B1" w14:textId="77777777" w:rsidR="0003111B" w:rsidRDefault="00000000">
            <w:r>
              <w:rPr>
                <w:sz w:val="20"/>
                <w:szCs w:val="20"/>
              </w:rPr>
              <w:t>Strategy</w:t>
            </w:r>
          </w:p>
        </w:tc>
        <w:tc>
          <w:tcPr>
            <w:tcW w:w="7620" w:type="dxa"/>
          </w:tcPr>
          <w:p w14:paraId="797A09B2" w14:textId="77777777" w:rsidR="0003111B" w:rsidRDefault="00000000">
            <w:r>
              <w:rPr>
                <w:sz w:val="20"/>
                <w:szCs w:val="20"/>
              </w:rPr>
              <w:t>Leverage broadband, educated population, and entrepreneurial energy to build a technology sector.</w:t>
            </w:r>
          </w:p>
        </w:tc>
      </w:tr>
      <w:tr w:rsidR="0003111B" w14:paraId="797A09B6" w14:textId="77777777">
        <w:tc>
          <w:tcPr>
            <w:tcW w:w="1800" w:type="dxa"/>
            <w:shd w:val="clear" w:color="auto" w:fill="F2F7F8"/>
          </w:tcPr>
          <w:p w14:paraId="797A09B4" w14:textId="77777777" w:rsidR="0003111B" w:rsidRDefault="00000000">
            <w:r>
              <w:rPr>
                <w:sz w:val="20"/>
                <w:szCs w:val="20"/>
              </w:rPr>
              <w:t>Actions</w:t>
            </w:r>
          </w:p>
        </w:tc>
        <w:tc>
          <w:tcPr>
            <w:tcW w:w="7620" w:type="dxa"/>
            <w:shd w:val="clear" w:color="auto" w:fill="F2F7F8"/>
          </w:tcPr>
          <w:p w14:paraId="797A09B5" w14:textId="77777777" w:rsidR="0003111B" w:rsidRDefault="00000000">
            <w:r>
              <w:rPr>
                <w:sz w:val="20"/>
                <w:szCs w:val="20"/>
              </w:rPr>
              <w:t>• Scale models like Hayden’s MyTownAI across the region</w:t>
            </w:r>
            <w:r>
              <w:rPr>
                <w:sz w:val="20"/>
                <w:szCs w:val="20"/>
              </w:rPr>
              <w:br/>
              <w:t>• Form a regional AI/tech working group connecting entrepreneurs across counties</w:t>
            </w:r>
            <w:r>
              <w:rPr>
                <w:sz w:val="20"/>
                <w:szCs w:val="20"/>
              </w:rPr>
              <w:br/>
              <w:t>• CMC digital skills and AI literacy programming</w:t>
            </w:r>
            <w:r>
              <w:rPr>
                <w:sz w:val="20"/>
                <w:szCs w:val="20"/>
              </w:rPr>
              <w:br/>
              <w:t>• Co-working/incubator spaces in each county seat</w:t>
            </w:r>
            <w:r>
              <w:rPr>
                <w:sz w:val="20"/>
                <w:szCs w:val="20"/>
              </w:rPr>
              <w:br/>
              <w:t>• Connect regional entrepreneurs to Front Range tech ecosystem and capital</w:t>
            </w:r>
            <w:r>
              <w:rPr>
                <w:sz w:val="20"/>
                <w:szCs w:val="20"/>
              </w:rPr>
              <w:br/>
              <w:t>• Target Colorado’s $200M advanced industry investment goal (OEDIT)</w:t>
            </w:r>
          </w:p>
        </w:tc>
      </w:tr>
      <w:tr w:rsidR="0003111B" w14:paraId="797A09B9" w14:textId="77777777">
        <w:tc>
          <w:tcPr>
            <w:tcW w:w="1800" w:type="dxa"/>
          </w:tcPr>
          <w:p w14:paraId="797A09B7" w14:textId="77777777" w:rsidR="0003111B" w:rsidRDefault="00000000">
            <w:r>
              <w:rPr>
                <w:sz w:val="20"/>
                <w:szCs w:val="20"/>
              </w:rPr>
              <w:t>Owner</w:t>
            </w:r>
          </w:p>
        </w:tc>
        <w:tc>
          <w:tcPr>
            <w:tcW w:w="7620" w:type="dxa"/>
          </w:tcPr>
          <w:p w14:paraId="797A09B8" w14:textId="77777777" w:rsidR="0003111B" w:rsidRDefault="00000000">
            <w:r>
              <w:rPr>
                <w:sz w:val="20"/>
                <w:szCs w:val="20"/>
              </w:rPr>
              <w:t>[TO BE CLAIMED — CMC? Chambers? Private sector consortium?]</w:t>
            </w:r>
          </w:p>
        </w:tc>
      </w:tr>
      <w:tr w:rsidR="0003111B" w14:paraId="797A09BC" w14:textId="77777777">
        <w:tc>
          <w:tcPr>
            <w:tcW w:w="1800" w:type="dxa"/>
            <w:shd w:val="clear" w:color="auto" w:fill="F2F7F8"/>
          </w:tcPr>
          <w:p w14:paraId="797A09BA" w14:textId="77777777" w:rsidR="0003111B" w:rsidRDefault="00000000">
            <w:r>
              <w:rPr>
                <w:sz w:val="20"/>
                <w:szCs w:val="20"/>
              </w:rPr>
              <w:t>Timeframe</w:t>
            </w:r>
          </w:p>
        </w:tc>
        <w:tc>
          <w:tcPr>
            <w:tcW w:w="7620" w:type="dxa"/>
            <w:shd w:val="clear" w:color="auto" w:fill="F2F7F8"/>
          </w:tcPr>
          <w:p w14:paraId="797A09BB" w14:textId="77777777" w:rsidR="0003111B" w:rsidRDefault="00000000">
            <w:r>
              <w:rPr>
                <w:sz w:val="20"/>
                <w:szCs w:val="20"/>
              </w:rPr>
              <w:t>Short-to-Medium-term</w:t>
            </w:r>
          </w:p>
        </w:tc>
      </w:tr>
      <w:tr w:rsidR="0003111B" w14:paraId="797A09BF" w14:textId="77777777">
        <w:tc>
          <w:tcPr>
            <w:tcW w:w="1800" w:type="dxa"/>
          </w:tcPr>
          <w:p w14:paraId="797A09BD" w14:textId="77777777" w:rsidR="0003111B" w:rsidRDefault="00000000">
            <w:r>
              <w:rPr>
                <w:sz w:val="20"/>
                <w:szCs w:val="20"/>
              </w:rPr>
              <w:t>From 2021 CEDS?</w:t>
            </w:r>
          </w:p>
        </w:tc>
        <w:tc>
          <w:tcPr>
            <w:tcW w:w="7620" w:type="dxa"/>
          </w:tcPr>
          <w:p w14:paraId="797A09BE" w14:textId="77777777" w:rsidR="0003111B" w:rsidRDefault="00000000">
            <w:r>
              <w:rPr>
                <w:sz w:val="20"/>
                <w:szCs w:val="20"/>
              </w:rPr>
              <w:t>NEW — Not in 2021 CEDS</w:t>
            </w:r>
          </w:p>
        </w:tc>
      </w:tr>
    </w:tbl>
    <w:p w14:paraId="797A09C0" w14:textId="77777777" w:rsidR="0003111B" w:rsidRDefault="0003111B"/>
    <w:p w14:paraId="797A09C1" w14:textId="77777777" w:rsidR="0003111B" w:rsidRDefault="00000000">
      <w:pPr>
        <w:pStyle w:val="Heading3"/>
      </w:pPr>
      <w:r>
        <w:t>Strategy 2.2: Manage the Energy Transition Proactively</w:t>
      </w:r>
    </w:p>
    <w:tbl>
      <w:tblPr>
        <w:tblStyle w:val="a5"/>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400"/>
        <w:gridCol w:w="7020"/>
      </w:tblGrid>
      <w:tr w:rsidR="0003111B" w14:paraId="797A09C4" w14:textId="77777777">
        <w:tc>
          <w:tcPr>
            <w:tcW w:w="2400" w:type="dxa"/>
            <w:shd w:val="clear" w:color="auto" w:fill="316472"/>
          </w:tcPr>
          <w:p w14:paraId="797A09C2" w14:textId="77777777" w:rsidR="0003111B" w:rsidRDefault="00000000">
            <w:r>
              <w:rPr>
                <w:b/>
                <w:bCs/>
                <w:color w:val="FFFFFF"/>
                <w:sz w:val="20"/>
                <w:szCs w:val="20"/>
              </w:rPr>
              <w:t>Element</w:t>
            </w:r>
          </w:p>
        </w:tc>
        <w:tc>
          <w:tcPr>
            <w:tcW w:w="7020" w:type="dxa"/>
            <w:shd w:val="clear" w:color="auto" w:fill="316472"/>
          </w:tcPr>
          <w:p w14:paraId="797A09C3" w14:textId="77777777" w:rsidR="0003111B" w:rsidRDefault="00000000">
            <w:r>
              <w:rPr>
                <w:b/>
                <w:bCs/>
                <w:color w:val="FFFFFF"/>
                <w:sz w:val="20"/>
                <w:szCs w:val="20"/>
              </w:rPr>
              <w:t>Detail</w:t>
            </w:r>
          </w:p>
        </w:tc>
      </w:tr>
      <w:tr w:rsidR="0003111B" w14:paraId="797A09C7" w14:textId="77777777">
        <w:tc>
          <w:tcPr>
            <w:tcW w:w="2400" w:type="dxa"/>
          </w:tcPr>
          <w:p w14:paraId="797A09C5" w14:textId="77777777" w:rsidR="0003111B" w:rsidRDefault="00000000">
            <w:r>
              <w:rPr>
                <w:sz w:val="20"/>
                <w:szCs w:val="20"/>
              </w:rPr>
              <w:lastRenderedPageBreak/>
              <w:t>Strategy</w:t>
            </w:r>
          </w:p>
        </w:tc>
        <w:tc>
          <w:tcPr>
            <w:tcW w:w="7020" w:type="dxa"/>
          </w:tcPr>
          <w:p w14:paraId="797A09C6" w14:textId="77777777" w:rsidR="0003111B" w:rsidRDefault="00000000">
            <w:r>
              <w:rPr>
                <w:sz w:val="20"/>
                <w:szCs w:val="20"/>
              </w:rPr>
              <w:t>Turn the coal transition in Hayden/Craig into a greenfield economic development opportunity.</w:t>
            </w:r>
          </w:p>
        </w:tc>
      </w:tr>
      <w:tr w:rsidR="0003111B" w14:paraId="797A09CA" w14:textId="77777777">
        <w:tc>
          <w:tcPr>
            <w:tcW w:w="2400" w:type="dxa"/>
            <w:shd w:val="clear" w:color="auto" w:fill="F2F7F8"/>
          </w:tcPr>
          <w:p w14:paraId="797A09C8" w14:textId="77777777" w:rsidR="0003111B" w:rsidRDefault="00000000">
            <w:r>
              <w:rPr>
                <w:sz w:val="20"/>
                <w:szCs w:val="20"/>
              </w:rPr>
              <w:t>Actions</w:t>
            </w:r>
          </w:p>
        </w:tc>
        <w:tc>
          <w:tcPr>
            <w:tcW w:w="7020" w:type="dxa"/>
            <w:shd w:val="clear" w:color="auto" w:fill="F2F7F8"/>
          </w:tcPr>
          <w:p w14:paraId="797A09C9" w14:textId="77777777" w:rsidR="0003111B" w:rsidRDefault="00000000">
            <w:r>
              <w:rPr>
                <w:sz w:val="20"/>
                <w:szCs w:val="20"/>
              </w:rPr>
              <w:t>• Data center recruitment leveraging power infrastructure and cool climate</w:t>
            </w:r>
            <w:r>
              <w:rPr>
                <w:sz w:val="20"/>
                <w:szCs w:val="20"/>
              </w:rPr>
              <w:br/>
              <w:t>• Regional airport development for logistics and access</w:t>
            </w:r>
            <w:r>
              <w:rPr>
                <w:sz w:val="20"/>
                <w:szCs w:val="20"/>
              </w:rPr>
              <w:br/>
              <w:t>• Renewable energy workforce training (model: Vermont’s Climate Outdoors Workforce Initiative)</w:t>
            </w:r>
            <w:r>
              <w:rPr>
                <w:sz w:val="20"/>
                <w:szCs w:val="20"/>
              </w:rPr>
              <w:br/>
              <w:t>• Package fulfillment and light manufacturing recruitment</w:t>
            </w:r>
            <w:r>
              <w:rPr>
                <w:sz w:val="20"/>
                <w:szCs w:val="20"/>
              </w:rPr>
              <w:br/>
              <w:t>• Document the Hayden diversification playbook for other transitioning communities</w:t>
            </w:r>
          </w:p>
        </w:tc>
      </w:tr>
      <w:tr w:rsidR="0003111B" w14:paraId="797A09CD" w14:textId="77777777">
        <w:tc>
          <w:tcPr>
            <w:tcW w:w="2400" w:type="dxa"/>
          </w:tcPr>
          <w:p w14:paraId="797A09CB" w14:textId="77777777" w:rsidR="0003111B" w:rsidRDefault="00000000">
            <w:r>
              <w:rPr>
                <w:sz w:val="20"/>
                <w:szCs w:val="20"/>
              </w:rPr>
              <w:t>Owner</w:t>
            </w:r>
          </w:p>
        </w:tc>
        <w:tc>
          <w:tcPr>
            <w:tcW w:w="7020" w:type="dxa"/>
          </w:tcPr>
          <w:p w14:paraId="797A09CC" w14:textId="77777777" w:rsidR="0003111B" w:rsidRDefault="00000000">
            <w:r>
              <w:rPr>
                <w:sz w:val="20"/>
                <w:szCs w:val="20"/>
              </w:rPr>
              <w:t>[TO BE CLAIMED — Town of Hayden? Routt County? OEDIT? AGNC?]</w:t>
            </w:r>
          </w:p>
        </w:tc>
      </w:tr>
      <w:tr w:rsidR="0003111B" w14:paraId="797A09D0" w14:textId="77777777">
        <w:tc>
          <w:tcPr>
            <w:tcW w:w="2400" w:type="dxa"/>
            <w:shd w:val="clear" w:color="auto" w:fill="F2F7F8"/>
          </w:tcPr>
          <w:p w14:paraId="797A09CE" w14:textId="77777777" w:rsidR="0003111B" w:rsidRDefault="00000000">
            <w:r>
              <w:rPr>
                <w:sz w:val="20"/>
                <w:szCs w:val="20"/>
              </w:rPr>
              <w:t>Timeframe</w:t>
            </w:r>
          </w:p>
        </w:tc>
        <w:tc>
          <w:tcPr>
            <w:tcW w:w="7020" w:type="dxa"/>
            <w:shd w:val="clear" w:color="auto" w:fill="F2F7F8"/>
          </w:tcPr>
          <w:p w14:paraId="797A09CF" w14:textId="77777777" w:rsidR="0003111B" w:rsidRDefault="00000000">
            <w:r>
              <w:rPr>
                <w:sz w:val="20"/>
                <w:szCs w:val="20"/>
              </w:rPr>
              <w:t>Ongoing (already in progress)</w:t>
            </w:r>
          </w:p>
        </w:tc>
      </w:tr>
      <w:tr w:rsidR="0003111B" w14:paraId="797A09D3" w14:textId="77777777">
        <w:tc>
          <w:tcPr>
            <w:tcW w:w="2400" w:type="dxa"/>
          </w:tcPr>
          <w:p w14:paraId="797A09D1" w14:textId="77777777" w:rsidR="0003111B" w:rsidRDefault="00000000">
            <w:r>
              <w:rPr>
                <w:sz w:val="20"/>
                <w:szCs w:val="20"/>
              </w:rPr>
              <w:t>From 2021 CEDS?</w:t>
            </w:r>
          </w:p>
        </w:tc>
        <w:tc>
          <w:tcPr>
            <w:tcW w:w="7020" w:type="dxa"/>
          </w:tcPr>
          <w:p w14:paraId="797A09D2" w14:textId="77777777" w:rsidR="0003111B" w:rsidRDefault="00000000">
            <w:r>
              <w:rPr>
                <w:sz w:val="20"/>
                <w:szCs w:val="20"/>
              </w:rPr>
              <w:t>Partially new — 2021 CEDS noted energy transition but had no specific strategies</w:t>
            </w:r>
          </w:p>
        </w:tc>
      </w:tr>
    </w:tbl>
    <w:p w14:paraId="797A09D4" w14:textId="77777777" w:rsidR="0003111B" w:rsidRDefault="0003111B"/>
    <w:p w14:paraId="797A09D5" w14:textId="77777777" w:rsidR="0003111B" w:rsidRDefault="00000000">
      <w:pPr>
        <w:pStyle w:val="Heading3"/>
      </w:pPr>
      <w:r>
        <w:t>Strategy 2.3: Leverage the Boomer Economy</w:t>
      </w:r>
    </w:p>
    <w:tbl>
      <w:tblPr>
        <w:tblStyle w:val="a6"/>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815"/>
        <w:gridCol w:w="7605"/>
      </w:tblGrid>
      <w:tr w:rsidR="0003111B" w14:paraId="797A09D8" w14:textId="77777777">
        <w:tc>
          <w:tcPr>
            <w:tcW w:w="1815" w:type="dxa"/>
            <w:shd w:val="clear" w:color="auto" w:fill="316472"/>
          </w:tcPr>
          <w:p w14:paraId="797A09D6" w14:textId="77777777" w:rsidR="0003111B" w:rsidRDefault="00000000">
            <w:r>
              <w:rPr>
                <w:b/>
                <w:bCs/>
                <w:color w:val="FFFFFF"/>
                <w:sz w:val="20"/>
                <w:szCs w:val="20"/>
              </w:rPr>
              <w:t>Element</w:t>
            </w:r>
          </w:p>
        </w:tc>
        <w:tc>
          <w:tcPr>
            <w:tcW w:w="7605" w:type="dxa"/>
            <w:shd w:val="clear" w:color="auto" w:fill="316472"/>
          </w:tcPr>
          <w:p w14:paraId="797A09D7" w14:textId="77777777" w:rsidR="0003111B" w:rsidRDefault="00000000">
            <w:r>
              <w:rPr>
                <w:b/>
                <w:bCs/>
                <w:color w:val="FFFFFF"/>
                <w:sz w:val="20"/>
                <w:szCs w:val="20"/>
              </w:rPr>
              <w:t>Detail</w:t>
            </w:r>
          </w:p>
        </w:tc>
      </w:tr>
      <w:tr w:rsidR="0003111B" w14:paraId="797A09DB" w14:textId="77777777">
        <w:tc>
          <w:tcPr>
            <w:tcW w:w="1815" w:type="dxa"/>
          </w:tcPr>
          <w:p w14:paraId="797A09D9" w14:textId="77777777" w:rsidR="0003111B" w:rsidRDefault="00000000">
            <w:r>
              <w:rPr>
                <w:sz w:val="20"/>
                <w:szCs w:val="20"/>
              </w:rPr>
              <w:t>Strategy</w:t>
            </w:r>
          </w:p>
        </w:tc>
        <w:tc>
          <w:tcPr>
            <w:tcW w:w="7605" w:type="dxa"/>
          </w:tcPr>
          <w:p w14:paraId="797A09DA" w14:textId="77777777" w:rsidR="0003111B" w:rsidRDefault="00000000">
            <w:r>
              <w:rPr>
                <w:sz w:val="20"/>
                <w:szCs w:val="20"/>
              </w:rPr>
              <w:t>Activate the retiree population as an economic and civic asset.</w:t>
            </w:r>
          </w:p>
        </w:tc>
      </w:tr>
      <w:tr w:rsidR="0003111B" w14:paraId="797A09DE" w14:textId="77777777">
        <w:tc>
          <w:tcPr>
            <w:tcW w:w="1815" w:type="dxa"/>
            <w:shd w:val="clear" w:color="auto" w:fill="F2F7F8"/>
          </w:tcPr>
          <w:p w14:paraId="797A09DC" w14:textId="77777777" w:rsidR="0003111B" w:rsidRDefault="00000000">
            <w:r>
              <w:rPr>
                <w:sz w:val="20"/>
                <w:szCs w:val="20"/>
              </w:rPr>
              <w:t>Actions</w:t>
            </w:r>
          </w:p>
        </w:tc>
        <w:tc>
          <w:tcPr>
            <w:tcW w:w="7605" w:type="dxa"/>
            <w:shd w:val="clear" w:color="auto" w:fill="F2F7F8"/>
          </w:tcPr>
          <w:p w14:paraId="797A09DD" w14:textId="77777777" w:rsidR="0003111B" w:rsidRDefault="00000000">
            <w:r>
              <w:rPr>
                <w:sz w:val="20"/>
                <w:szCs w:val="20"/>
              </w:rPr>
              <w:t>• Encore career programs connecting retired professionals to local needs</w:t>
            </w:r>
            <w:r>
              <w:rPr>
                <w:sz w:val="20"/>
                <w:szCs w:val="20"/>
              </w:rPr>
              <w:br/>
              <w:t>• Angel investor and mentorship networks for local startups</w:t>
            </w:r>
            <w:r>
              <w:rPr>
                <w:sz w:val="20"/>
                <w:szCs w:val="20"/>
              </w:rPr>
              <w:br/>
              <w:t>• Professional services retention (accounting, legal, consulting)</w:t>
            </w:r>
            <w:r>
              <w:rPr>
                <w:sz w:val="20"/>
                <w:szCs w:val="20"/>
              </w:rPr>
              <w:br/>
              <w:t>• Senior entrepreneurship program through CMC</w:t>
            </w:r>
            <w:r>
              <w:rPr>
                <w:sz w:val="20"/>
                <w:szCs w:val="20"/>
              </w:rPr>
              <w:br/>
              <w:t>• Engage Vintage (area agency on aging) as a strategic economic development partner, not just a services provider</w:t>
            </w:r>
          </w:p>
        </w:tc>
      </w:tr>
      <w:tr w:rsidR="0003111B" w14:paraId="797A09E1" w14:textId="77777777">
        <w:tc>
          <w:tcPr>
            <w:tcW w:w="1815" w:type="dxa"/>
          </w:tcPr>
          <w:p w14:paraId="797A09DF" w14:textId="77777777" w:rsidR="0003111B" w:rsidRDefault="00000000">
            <w:r>
              <w:rPr>
                <w:sz w:val="20"/>
                <w:szCs w:val="20"/>
              </w:rPr>
              <w:t>Owner</w:t>
            </w:r>
          </w:p>
        </w:tc>
        <w:tc>
          <w:tcPr>
            <w:tcW w:w="7605" w:type="dxa"/>
          </w:tcPr>
          <w:p w14:paraId="797A09E0" w14:textId="77777777" w:rsidR="0003111B" w:rsidRDefault="00000000">
            <w:r>
              <w:rPr>
                <w:sz w:val="20"/>
                <w:szCs w:val="20"/>
              </w:rPr>
              <w:t>[TO BE CLAIMED — Community foundations? CMC? SCORE? Vintage?]</w:t>
            </w:r>
          </w:p>
        </w:tc>
      </w:tr>
      <w:tr w:rsidR="0003111B" w14:paraId="797A09E4" w14:textId="77777777">
        <w:tc>
          <w:tcPr>
            <w:tcW w:w="1815" w:type="dxa"/>
            <w:shd w:val="clear" w:color="auto" w:fill="F2F7F8"/>
          </w:tcPr>
          <w:p w14:paraId="797A09E2" w14:textId="77777777" w:rsidR="0003111B" w:rsidRDefault="00000000">
            <w:r>
              <w:rPr>
                <w:sz w:val="20"/>
                <w:szCs w:val="20"/>
              </w:rPr>
              <w:t>Timeframe</w:t>
            </w:r>
          </w:p>
        </w:tc>
        <w:tc>
          <w:tcPr>
            <w:tcW w:w="7605" w:type="dxa"/>
            <w:shd w:val="clear" w:color="auto" w:fill="F2F7F8"/>
          </w:tcPr>
          <w:p w14:paraId="797A09E3" w14:textId="77777777" w:rsidR="0003111B" w:rsidRDefault="00000000">
            <w:r>
              <w:rPr>
                <w:sz w:val="20"/>
                <w:szCs w:val="20"/>
              </w:rPr>
              <w:t>Medium-term</w:t>
            </w:r>
          </w:p>
        </w:tc>
      </w:tr>
      <w:tr w:rsidR="0003111B" w14:paraId="797A09E7" w14:textId="77777777">
        <w:tc>
          <w:tcPr>
            <w:tcW w:w="1815" w:type="dxa"/>
          </w:tcPr>
          <w:p w14:paraId="797A09E5" w14:textId="77777777" w:rsidR="0003111B" w:rsidRDefault="00000000">
            <w:r>
              <w:rPr>
                <w:sz w:val="20"/>
                <w:szCs w:val="20"/>
              </w:rPr>
              <w:t>From 2021 CEDS?</w:t>
            </w:r>
          </w:p>
        </w:tc>
        <w:tc>
          <w:tcPr>
            <w:tcW w:w="7605" w:type="dxa"/>
          </w:tcPr>
          <w:p w14:paraId="797A09E6" w14:textId="77777777" w:rsidR="0003111B" w:rsidRDefault="00000000">
            <w:r>
              <w:rPr>
                <w:sz w:val="20"/>
                <w:szCs w:val="20"/>
              </w:rPr>
              <w:t>NEW — Not in 2021 CEDS</w:t>
            </w:r>
          </w:p>
        </w:tc>
      </w:tr>
    </w:tbl>
    <w:p w14:paraId="797A09E8" w14:textId="77777777" w:rsidR="0003111B" w:rsidRDefault="0003111B"/>
    <w:p w14:paraId="797A09E9" w14:textId="77777777" w:rsidR="0003111B" w:rsidRDefault="00000000">
      <w:pPr>
        <w:pStyle w:val="Heading3"/>
      </w:pPr>
      <w:r>
        <w:t>Strategy 2.4: Grow Healthcare and Professional Services</w:t>
      </w:r>
    </w:p>
    <w:tbl>
      <w:tblPr>
        <w:tblStyle w:val="a7"/>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235"/>
        <w:gridCol w:w="7185"/>
      </w:tblGrid>
      <w:tr w:rsidR="0003111B" w14:paraId="797A09EC" w14:textId="77777777">
        <w:tc>
          <w:tcPr>
            <w:tcW w:w="2235" w:type="dxa"/>
            <w:shd w:val="clear" w:color="auto" w:fill="316472"/>
          </w:tcPr>
          <w:p w14:paraId="797A09EA" w14:textId="77777777" w:rsidR="0003111B" w:rsidRDefault="00000000">
            <w:r>
              <w:rPr>
                <w:b/>
                <w:bCs/>
                <w:color w:val="FFFFFF"/>
                <w:sz w:val="20"/>
                <w:szCs w:val="20"/>
              </w:rPr>
              <w:t>Element</w:t>
            </w:r>
          </w:p>
        </w:tc>
        <w:tc>
          <w:tcPr>
            <w:tcW w:w="7185" w:type="dxa"/>
            <w:shd w:val="clear" w:color="auto" w:fill="316472"/>
          </w:tcPr>
          <w:p w14:paraId="797A09EB" w14:textId="77777777" w:rsidR="0003111B" w:rsidRDefault="00000000">
            <w:r>
              <w:rPr>
                <w:b/>
                <w:bCs/>
                <w:color w:val="FFFFFF"/>
                <w:sz w:val="20"/>
                <w:szCs w:val="20"/>
              </w:rPr>
              <w:t>Detail</w:t>
            </w:r>
          </w:p>
        </w:tc>
      </w:tr>
      <w:tr w:rsidR="0003111B" w14:paraId="797A09EF" w14:textId="77777777">
        <w:tc>
          <w:tcPr>
            <w:tcW w:w="2235" w:type="dxa"/>
          </w:tcPr>
          <w:p w14:paraId="797A09ED" w14:textId="77777777" w:rsidR="0003111B" w:rsidRDefault="00000000">
            <w:r>
              <w:rPr>
                <w:sz w:val="20"/>
                <w:szCs w:val="20"/>
              </w:rPr>
              <w:t>Strategy</w:t>
            </w:r>
          </w:p>
        </w:tc>
        <w:tc>
          <w:tcPr>
            <w:tcW w:w="7185" w:type="dxa"/>
          </w:tcPr>
          <w:p w14:paraId="797A09EE" w14:textId="77777777" w:rsidR="0003111B" w:rsidRDefault="00000000">
            <w:r>
              <w:rPr>
                <w:sz w:val="20"/>
                <w:szCs w:val="20"/>
              </w:rPr>
              <w:t>Accelerate already-growing healthcare and professional/technical sectors.</w:t>
            </w:r>
          </w:p>
        </w:tc>
      </w:tr>
      <w:tr w:rsidR="0003111B" w14:paraId="797A09F2" w14:textId="77777777">
        <w:tc>
          <w:tcPr>
            <w:tcW w:w="2235" w:type="dxa"/>
            <w:shd w:val="clear" w:color="auto" w:fill="F2F7F8"/>
          </w:tcPr>
          <w:p w14:paraId="797A09F0" w14:textId="77777777" w:rsidR="0003111B" w:rsidRDefault="00000000">
            <w:r>
              <w:rPr>
                <w:sz w:val="20"/>
                <w:szCs w:val="20"/>
              </w:rPr>
              <w:t>Actions</w:t>
            </w:r>
          </w:p>
        </w:tc>
        <w:tc>
          <w:tcPr>
            <w:tcW w:w="7185" w:type="dxa"/>
            <w:shd w:val="clear" w:color="auto" w:fill="F2F7F8"/>
          </w:tcPr>
          <w:p w14:paraId="797A09F1" w14:textId="77777777" w:rsidR="0003111B" w:rsidRDefault="00000000">
            <w:r>
              <w:rPr>
                <w:sz w:val="20"/>
                <w:szCs w:val="20"/>
              </w:rPr>
              <w:t>• Telehealth infrastructure expansion for remote communities</w:t>
            </w:r>
            <w:r>
              <w:rPr>
                <w:sz w:val="20"/>
                <w:szCs w:val="20"/>
              </w:rPr>
              <w:br/>
              <w:t>• Satellite professional office zoning and incentives</w:t>
            </w:r>
            <w:r>
              <w:rPr>
                <w:sz w:val="20"/>
                <w:szCs w:val="20"/>
              </w:rPr>
              <w:br/>
              <w:t xml:space="preserve">• </w:t>
            </w:r>
            <w:commentRangeStart w:id="7"/>
            <w:r>
              <w:rPr>
                <w:sz w:val="20"/>
                <w:szCs w:val="20"/>
              </w:rPr>
              <w:t>Healthcare workforce pipeline with CMC (nursing, EMT, behavioral health)</w:t>
            </w:r>
            <w:commentRangeEnd w:id="7"/>
            <w:r>
              <w:rPr>
                <w:rStyle w:val="CommentReference"/>
                <w:sz w:val="20"/>
                <w:szCs w:val="20"/>
              </w:rPr>
              <w:commentReference w:id="7"/>
            </w:r>
            <w:r>
              <w:rPr>
                <w:sz w:val="20"/>
                <w:szCs w:val="20"/>
              </w:rPr>
              <w:br/>
              <w:t>• Regional mental health and substance abuse service expansion</w:t>
            </w:r>
            <w:r>
              <w:rPr>
                <w:sz w:val="20"/>
                <w:szCs w:val="20"/>
              </w:rPr>
              <w:br/>
              <w:t>• Plan for 80+ population boom: transportation to appointments, home retrofitting, Medicaid pressure</w:t>
            </w:r>
          </w:p>
        </w:tc>
      </w:tr>
      <w:tr w:rsidR="0003111B" w14:paraId="797A09F5" w14:textId="77777777">
        <w:tc>
          <w:tcPr>
            <w:tcW w:w="2235" w:type="dxa"/>
          </w:tcPr>
          <w:p w14:paraId="797A09F3" w14:textId="77777777" w:rsidR="0003111B" w:rsidRDefault="00000000">
            <w:r>
              <w:rPr>
                <w:sz w:val="20"/>
                <w:szCs w:val="20"/>
              </w:rPr>
              <w:t>Owner</w:t>
            </w:r>
          </w:p>
        </w:tc>
        <w:tc>
          <w:tcPr>
            <w:tcW w:w="7185" w:type="dxa"/>
          </w:tcPr>
          <w:p w14:paraId="797A09F4" w14:textId="77777777" w:rsidR="0003111B" w:rsidRDefault="00000000">
            <w:r>
              <w:rPr>
                <w:sz w:val="20"/>
                <w:szCs w:val="20"/>
              </w:rPr>
              <w:t>[TO BE CLAIMED — Vail Health? Middle Park Health? County public health?]</w:t>
            </w:r>
          </w:p>
        </w:tc>
      </w:tr>
      <w:tr w:rsidR="0003111B" w14:paraId="797A09F8" w14:textId="77777777">
        <w:tc>
          <w:tcPr>
            <w:tcW w:w="2235" w:type="dxa"/>
            <w:shd w:val="clear" w:color="auto" w:fill="F2F7F8"/>
          </w:tcPr>
          <w:p w14:paraId="797A09F6" w14:textId="77777777" w:rsidR="0003111B" w:rsidRDefault="00000000">
            <w:r>
              <w:rPr>
                <w:sz w:val="20"/>
                <w:szCs w:val="20"/>
              </w:rPr>
              <w:t>Timeframe</w:t>
            </w:r>
          </w:p>
        </w:tc>
        <w:tc>
          <w:tcPr>
            <w:tcW w:w="7185" w:type="dxa"/>
            <w:shd w:val="clear" w:color="auto" w:fill="F2F7F8"/>
          </w:tcPr>
          <w:p w14:paraId="797A09F7" w14:textId="77777777" w:rsidR="0003111B" w:rsidRDefault="00000000">
            <w:r>
              <w:rPr>
                <w:sz w:val="20"/>
                <w:szCs w:val="20"/>
              </w:rPr>
              <w:t>Short-to-Medium-term</w:t>
            </w:r>
          </w:p>
        </w:tc>
      </w:tr>
      <w:tr w:rsidR="0003111B" w14:paraId="797A09FB" w14:textId="77777777">
        <w:tc>
          <w:tcPr>
            <w:tcW w:w="2235" w:type="dxa"/>
          </w:tcPr>
          <w:p w14:paraId="797A09F9" w14:textId="77777777" w:rsidR="0003111B" w:rsidRDefault="00000000">
            <w:r>
              <w:rPr>
                <w:sz w:val="20"/>
                <w:szCs w:val="20"/>
              </w:rPr>
              <w:lastRenderedPageBreak/>
              <w:t>From 2021 CEDS?</w:t>
            </w:r>
          </w:p>
        </w:tc>
        <w:tc>
          <w:tcPr>
            <w:tcW w:w="7185" w:type="dxa"/>
          </w:tcPr>
          <w:p w14:paraId="797A09FA" w14:textId="77777777" w:rsidR="0003111B" w:rsidRDefault="00000000">
            <w:r>
              <w:rPr>
                <w:sz w:val="20"/>
                <w:szCs w:val="20"/>
              </w:rPr>
              <w:t>Builds on 2021 identification of healthcare as fastest-growing sector. 80+ planning is NEW.</w:t>
            </w:r>
          </w:p>
        </w:tc>
      </w:tr>
    </w:tbl>
    <w:p w14:paraId="797A09FC" w14:textId="77777777" w:rsidR="0003111B" w:rsidRDefault="0003111B"/>
    <w:p w14:paraId="797A09FD" w14:textId="77777777" w:rsidR="0003111B" w:rsidRDefault="00000000">
      <w:pPr>
        <w:pStyle w:val="Heading3"/>
      </w:pPr>
      <w:r>
        <w:t>Strategy 2.5: Formalize a Remote Worker Recruitment and Integration Strategy</w:t>
      </w:r>
    </w:p>
    <w:tbl>
      <w:tblPr>
        <w:tblStyle w:val="a8"/>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860"/>
        <w:gridCol w:w="7560"/>
      </w:tblGrid>
      <w:tr w:rsidR="0003111B" w14:paraId="797A0A00" w14:textId="77777777">
        <w:tc>
          <w:tcPr>
            <w:tcW w:w="1860" w:type="dxa"/>
            <w:shd w:val="clear" w:color="auto" w:fill="316472"/>
          </w:tcPr>
          <w:p w14:paraId="797A09FE" w14:textId="77777777" w:rsidR="0003111B" w:rsidRDefault="00000000">
            <w:r>
              <w:rPr>
                <w:b/>
                <w:bCs/>
                <w:color w:val="FFFFFF"/>
                <w:sz w:val="20"/>
                <w:szCs w:val="20"/>
              </w:rPr>
              <w:t>Element</w:t>
            </w:r>
          </w:p>
        </w:tc>
        <w:tc>
          <w:tcPr>
            <w:tcW w:w="7560" w:type="dxa"/>
            <w:shd w:val="clear" w:color="auto" w:fill="316472"/>
          </w:tcPr>
          <w:p w14:paraId="797A09FF" w14:textId="77777777" w:rsidR="0003111B" w:rsidRDefault="00000000">
            <w:r>
              <w:rPr>
                <w:b/>
                <w:bCs/>
                <w:color w:val="FFFFFF"/>
                <w:sz w:val="20"/>
                <w:szCs w:val="20"/>
              </w:rPr>
              <w:t>Detail</w:t>
            </w:r>
          </w:p>
        </w:tc>
      </w:tr>
      <w:tr w:rsidR="0003111B" w14:paraId="797A0A03" w14:textId="77777777">
        <w:tc>
          <w:tcPr>
            <w:tcW w:w="1860" w:type="dxa"/>
          </w:tcPr>
          <w:p w14:paraId="797A0A01" w14:textId="77777777" w:rsidR="0003111B" w:rsidRDefault="00000000">
            <w:r>
              <w:rPr>
                <w:sz w:val="20"/>
                <w:szCs w:val="20"/>
              </w:rPr>
              <w:t>Strategy</w:t>
            </w:r>
          </w:p>
        </w:tc>
        <w:tc>
          <w:tcPr>
            <w:tcW w:w="7560" w:type="dxa"/>
          </w:tcPr>
          <w:p w14:paraId="797A0A02" w14:textId="77777777" w:rsidR="0003111B" w:rsidRDefault="00000000">
            <w:r>
              <w:rPr>
                <w:sz w:val="20"/>
                <w:szCs w:val="20"/>
              </w:rPr>
              <w:t>Treat remote workers as a defined economic sector to recruit — not only a housing pressure to manage.</w:t>
            </w:r>
          </w:p>
        </w:tc>
      </w:tr>
      <w:tr w:rsidR="0003111B" w14:paraId="797A0A06" w14:textId="77777777">
        <w:tc>
          <w:tcPr>
            <w:tcW w:w="1860" w:type="dxa"/>
            <w:shd w:val="clear" w:color="auto" w:fill="F2F7F8"/>
          </w:tcPr>
          <w:p w14:paraId="797A0A04" w14:textId="77777777" w:rsidR="0003111B" w:rsidRDefault="00000000">
            <w:r>
              <w:rPr>
                <w:sz w:val="20"/>
                <w:szCs w:val="20"/>
              </w:rPr>
              <w:t>Actions</w:t>
            </w:r>
          </w:p>
        </w:tc>
        <w:tc>
          <w:tcPr>
            <w:tcW w:w="7560" w:type="dxa"/>
            <w:shd w:val="clear" w:color="auto" w:fill="F2F7F8"/>
          </w:tcPr>
          <w:p w14:paraId="797A0A05" w14:textId="77777777" w:rsidR="0003111B" w:rsidRDefault="00000000">
            <w:r>
              <w:rPr>
                <w:sz w:val="20"/>
                <w:szCs w:val="20"/>
              </w:rPr>
              <w:t>• Calculate regional GDP contribution of remote workers (Sun Valley model: $110K per person)</w:t>
            </w:r>
            <w:r>
              <w:rPr>
                <w:sz w:val="20"/>
                <w:szCs w:val="20"/>
              </w:rPr>
              <w:br/>
              <w:t>• Market quality of place to location-neutral talent (Blaine County model)</w:t>
            </w:r>
            <w:r>
              <w:rPr>
                <w:sz w:val="20"/>
                <w:szCs w:val="20"/>
              </w:rPr>
              <w:br/>
              <w:t>• Channel remote-worker housing demand into deed-restricted or locally-employed tiers (Jackson model)</w:t>
            </w:r>
            <w:r>
              <w:rPr>
                <w:sz w:val="20"/>
                <w:szCs w:val="20"/>
              </w:rPr>
              <w:br/>
              <w:t>• Develop “trailing spouse” professional services and childcare infrastructure</w:t>
            </w:r>
          </w:p>
        </w:tc>
      </w:tr>
      <w:tr w:rsidR="0003111B" w14:paraId="797A0A09" w14:textId="77777777">
        <w:tc>
          <w:tcPr>
            <w:tcW w:w="1860" w:type="dxa"/>
          </w:tcPr>
          <w:p w14:paraId="797A0A07" w14:textId="77777777" w:rsidR="0003111B" w:rsidRDefault="00000000">
            <w:r>
              <w:rPr>
                <w:sz w:val="20"/>
                <w:szCs w:val="20"/>
              </w:rPr>
              <w:t>Owner</w:t>
            </w:r>
          </w:p>
        </w:tc>
        <w:tc>
          <w:tcPr>
            <w:tcW w:w="7560" w:type="dxa"/>
          </w:tcPr>
          <w:p w14:paraId="797A0A08" w14:textId="77777777" w:rsidR="0003111B" w:rsidRDefault="00000000">
            <w:r>
              <w:rPr>
                <w:sz w:val="20"/>
                <w:szCs w:val="20"/>
              </w:rPr>
              <w:t>[TO BE CLAIMED — Chambers? Economic development orgs? OEDIT partnership?]</w:t>
            </w:r>
          </w:p>
        </w:tc>
      </w:tr>
      <w:tr w:rsidR="0003111B" w14:paraId="797A0A0C" w14:textId="77777777">
        <w:tc>
          <w:tcPr>
            <w:tcW w:w="1860" w:type="dxa"/>
            <w:shd w:val="clear" w:color="auto" w:fill="F2F7F8"/>
          </w:tcPr>
          <w:p w14:paraId="797A0A0A" w14:textId="77777777" w:rsidR="0003111B" w:rsidRDefault="00000000">
            <w:r>
              <w:rPr>
                <w:sz w:val="20"/>
                <w:szCs w:val="20"/>
              </w:rPr>
              <w:t>Timeframe</w:t>
            </w:r>
          </w:p>
        </w:tc>
        <w:tc>
          <w:tcPr>
            <w:tcW w:w="7560" w:type="dxa"/>
            <w:shd w:val="clear" w:color="auto" w:fill="F2F7F8"/>
          </w:tcPr>
          <w:p w14:paraId="797A0A0B" w14:textId="77777777" w:rsidR="0003111B" w:rsidRDefault="00000000">
            <w:r>
              <w:rPr>
                <w:sz w:val="20"/>
                <w:szCs w:val="20"/>
              </w:rPr>
              <w:t>Medium-term</w:t>
            </w:r>
          </w:p>
        </w:tc>
      </w:tr>
      <w:tr w:rsidR="0003111B" w14:paraId="797A0A0F" w14:textId="77777777">
        <w:tc>
          <w:tcPr>
            <w:tcW w:w="1860" w:type="dxa"/>
          </w:tcPr>
          <w:p w14:paraId="797A0A0D" w14:textId="77777777" w:rsidR="0003111B" w:rsidRDefault="00000000">
            <w:r>
              <w:rPr>
                <w:sz w:val="20"/>
                <w:szCs w:val="20"/>
              </w:rPr>
              <w:t>From 2021 CEDS?</w:t>
            </w:r>
          </w:p>
        </w:tc>
        <w:tc>
          <w:tcPr>
            <w:tcW w:w="7560" w:type="dxa"/>
          </w:tcPr>
          <w:p w14:paraId="797A0A0E" w14:textId="77777777" w:rsidR="0003111B" w:rsidRDefault="00000000">
            <w:r>
              <w:rPr>
                <w:sz w:val="20"/>
                <w:szCs w:val="20"/>
              </w:rPr>
              <w:t>NEW — Not in 2021 CEDS. Peer regions are doing this; NWCCOG has no published stance.</w:t>
            </w:r>
          </w:p>
        </w:tc>
      </w:tr>
    </w:tbl>
    <w:p w14:paraId="797A0A10" w14:textId="77777777" w:rsidR="0003111B" w:rsidRDefault="0003111B"/>
    <w:p w14:paraId="797A0A11" w14:textId="77777777" w:rsidR="0003111B" w:rsidRDefault="00000000">
      <w:pPr>
        <w:pStyle w:val="Heading2"/>
      </w:pPr>
      <w:r>
        <w:t>Pillar 3: Destination Stewardship</w:t>
      </w:r>
    </w:p>
    <w:p w14:paraId="797A0A12" w14:textId="77777777" w:rsidR="0003111B" w:rsidRDefault="00000000">
      <w:r>
        <w:rPr>
          <w:b/>
          <w:bCs/>
          <w:color w:val="1A2E44"/>
        </w:rPr>
        <w:t xml:space="preserve">Goal: </w:t>
      </w:r>
      <w:r>
        <w:t>Manage the region’s tourism economy and natural assets for long-term community benefit, shifting from volume growth to value creation.</w:t>
      </w:r>
    </w:p>
    <w:p w14:paraId="797A0A13" w14:textId="77777777" w:rsidR="0003111B" w:rsidRDefault="00000000">
      <w:pPr>
        <w:pStyle w:val="Heading3"/>
      </w:pPr>
      <w:r>
        <w:t>Strategy 3.1: Shift from Tourism Promotion to Tourism Management</w:t>
      </w:r>
    </w:p>
    <w:tbl>
      <w:tblPr>
        <w:tblStyle w:val="a9"/>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280"/>
        <w:gridCol w:w="7140"/>
      </w:tblGrid>
      <w:tr w:rsidR="0003111B" w14:paraId="797A0A16" w14:textId="77777777">
        <w:tc>
          <w:tcPr>
            <w:tcW w:w="2280" w:type="dxa"/>
            <w:shd w:val="clear" w:color="auto" w:fill="316472"/>
          </w:tcPr>
          <w:p w14:paraId="797A0A14" w14:textId="77777777" w:rsidR="0003111B" w:rsidRDefault="00000000">
            <w:r>
              <w:rPr>
                <w:b/>
                <w:bCs/>
                <w:color w:val="FFFFFF"/>
                <w:sz w:val="20"/>
                <w:szCs w:val="20"/>
              </w:rPr>
              <w:t>Element</w:t>
            </w:r>
          </w:p>
        </w:tc>
        <w:tc>
          <w:tcPr>
            <w:tcW w:w="7140" w:type="dxa"/>
            <w:shd w:val="clear" w:color="auto" w:fill="316472"/>
          </w:tcPr>
          <w:p w14:paraId="797A0A15" w14:textId="77777777" w:rsidR="0003111B" w:rsidRDefault="00000000">
            <w:r>
              <w:rPr>
                <w:b/>
                <w:bCs/>
                <w:color w:val="FFFFFF"/>
                <w:sz w:val="20"/>
                <w:szCs w:val="20"/>
              </w:rPr>
              <w:t>Detail</w:t>
            </w:r>
          </w:p>
        </w:tc>
      </w:tr>
      <w:tr w:rsidR="0003111B" w14:paraId="797A0A19" w14:textId="77777777">
        <w:tc>
          <w:tcPr>
            <w:tcW w:w="2280" w:type="dxa"/>
          </w:tcPr>
          <w:p w14:paraId="797A0A17" w14:textId="77777777" w:rsidR="0003111B" w:rsidRDefault="00000000">
            <w:r>
              <w:rPr>
                <w:sz w:val="20"/>
                <w:szCs w:val="20"/>
              </w:rPr>
              <w:t>Strategy</w:t>
            </w:r>
          </w:p>
        </w:tc>
        <w:tc>
          <w:tcPr>
            <w:tcW w:w="7140" w:type="dxa"/>
          </w:tcPr>
          <w:p w14:paraId="797A0A18" w14:textId="77777777" w:rsidR="0003111B" w:rsidRDefault="00000000">
            <w:commentRangeStart w:id="8"/>
            <w:r>
              <w:rPr>
                <w:sz w:val="20"/>
                <w:szCs w:val="20"/>
              </w:rPr>
              <w:t>Adopt a Residents First destination management philosophy across the region.</w:t>
            </w:r>
            <w:commentRangeEnd w:id="8"/>
            <w:r>
              <w:rPr>
                <w:rStyle w:val="CommentReference"/>
                <w:sz w:val="22"/>
                <w:szCs w:val="22"/>
              </w:rPr>
              <w:commentReference w:id="8"/>
            </w:r>
          </w:p>
        </w:tc>
      </w:tr>
      <w:tr w:rsidR="0003111B" w14:paraId="797A0A1C" w14:textId="77777777">
        <w:tc>
          <w:tcPr>
            <w:tcW w:w="2280" w:type="dxa"/>
            <w:shd w:val="clear" w:color="auto" w:fill="F2F7F8"/>
          </w:tcPr>
          <w:p w14:paraId="797A0A1A" w14:textId="77777777" w:rsidR="0003111B" w:rsidRDefault="00000000">
            <w:r>
              <w:rPr>
                <w:sz w:val="20"/>
                <w:szCs w:val="20"/>
              </w:rPr>
              <w:t>Actions</w:t>
            </w:r>
          </w:p>
        </w:tc>
        <w:tc>
          <w:tcPr>
            <w:tcW w:w="7140" w:type="dxa"/>
            <w:shd w:val="clear" w:color="auto" w:fill="F2F7F8"/>
          </w:tcPr>
          <w:p w14:paraId="797A0A1B" w14:textId="77777777" w:rsidR="0003111B" w:rsidRDefault="00000000">
            <w:r>
              <w:rPr>
                <w:sz w:val="20"/>
                <w:szCs w:val="20"/>
              </w:rPr>
              <w:t>• Regional adoption of Glenwood Springs’ Residents First framework</w:t>
            </w:r>
            <w:r>
              <w:rPr>
                <w:sz w:val="20"/>
                <w:szCs w:val="20"/>
              </w:rPr>
              <w:br/>
              <w:t>• Stop marketing peak periods; redirect spend to shoulder seasons</w:t>
            </w:r>
            <w:r>
              <w:rPr>
                <w:sz w:val="20"/>
                <w:szCs w:val="20"/>
              </w:rPr>
              <w:br/>
              <w:t>• Cap-and-manage strategies for high-impact recreation sites</w:t>
            </w:r>
            <w:r>
              <w:rPr>
                <w:sz w:val="20"/>
                <w:szCs w:val="20"/>
              </w:rPr>
              <w:br/>
              <w:t>• Visitor impact assessments before approving new tourism development</w:t>
            </w:r>
            <w:r>
              <w:rPr>
                <w:sz w:val="20"/>
                <w:szCs w:val="20"/>
              </w:rPr>
              <w:br/>
              <w:t>• Tourism revenue reinvestment standards (% back to community infrastructure)</w:t>
            </w:r>
            <w:r>
              <w:rPr>
                <w:sz w:val="20"/>
                <w:szCs w:val="20"/>
              </w:rPr>
              <w:br/>
              <w:t>• Explore Whistler’s Balance Model for carrying-capacity analysis</w:t>
            </w:r>
          </w:p>
        </w:tc>
      </w:tr>
      <w:tr w:rsidR="0003111B" w14:paraId="797A0A1F" w14:textId="77777777">
        <w:tc>
          <w:tcPr>
            <w:tcW w:w="2280" w:type="dxa"/>
          </w:tcPr>
          <w:p w14:paraId="797A0A1D" w14:textId="77777777" w:rsidR="0003111B" w:rsidRDefault="00000000">
            <w:r>
              <w:rPr>
                <w:sz w:val="20"/>
                <w:szCs w:val="20"/>
              </w:rPr>
              <w:t>Owner</w:t>
            </w:r>
          </w:p>
        </w:tc>
        <w:tc>
          <w:tcPr>
            <w:tcW w:w="7140" w:type="dxa"/>
          </w:tcPr>
          <w:p w14:paraId="797A0A1E" w14:textId="77777777" w:rsidR="0003111B" w:rsidRDefault="00000000">
            <w:r>
              <w:rPr>
                <w:sz w:val="20"/>
                <w:szCs w:val="20"/>
              </w:rPr>
              <w:t>[TO BE CLAIMED — Destination marketing orgs? Town councils? Resort operators?]</w:t>
            </w:r>
          </w:p>
        </w:tc>
      </w:tr>
      <w:tr w:rsidR="0003111B" w14:paraId="797A0A22" w14:textId="77777777">
        <w:tc>
          <w:tcPr>
            <w:tcW w:w="2280" w:type="dxa"/>
            <w:shd w:val="clear" w:color="auto" w:fill="F2F7F8"/>
          </w:tcPr>
          <w:p w14:paraId="797A0A20" w14:textId="77777777" w:rsidR="0003111B" w:rsidRDefault="00000000">
            <w:r>
              <w:rPr>
                <w:sz w:val="20"/>
                <w:szCs w:val="20"/>
              </w:rPr>
              <w:t>Timeframe</w:t>
            </w:r>
          </w:p>
        </w:tc>
        <w:tc>
          <w:tcPr>
            <w:tcW w:w="7140" w:type="dxa"/>
            <w:shd w:val="clear" w:color="auto" w:fill="F2F7F8"/>
          </w:tcPr>
          <w:p w14:paraId="797A0A21" w14:textId="77777777" w:rsidR="0003111B" w:rsidRDefault="00000000">
            <w:r>
              <w:rPr>
                <w:sz w:val="20"/>
                <w:szCs w:val="20"/>
              </w:rPr>
              <w:t>Short-term (policy) + Ongoing</w:t>
            </w:r>
          </w:p>
        </w:tc>
      </w:tr>
      <w:tr w:rsidR="0003111B" w14:paraId="797A0A25" w14:textId="77777777">
        <w:tc>
          <w:tcPr>
            <w:tcW w:w="2280" w:type="dxa"/>
          </w:tcPr>
          <w:p w14:paraId="797A0A23" w14:textId="77777777" w:rsidR="0003111B" w:rsidRDefault="00000000">
            <w:r>
              <w:rPr>
                <w:sz w:val="20"/>
                <w:szCs w:val="20"/>
              </w:rPr>
              <w:t>From 2021 CEDS?</w:t>
            </w:r>
          </w:p>
        </w:tc>
        <w:tc>
          <w:tcPr>
            <w:tcW w:w="7140" w:type="dxa"/>
          </w:tcPr>
          <w:p w14:paraId="797A0A24" w14:textId="77777777" w:rsidR="0003111B" w:rsidRDefault="00000000">
            <w:r>
              <w:rPr>
                <w:sz w:val="20"/>
                <w:szCs w:val="20"/>
              </w:rPr>
              <w:t>NEW as regional strategy — Glenwood piloted; survey data confirms residents want this shift</w:t>
            </w:r>
          </w:p>
        </w:tc>
      </w:tr>
    </w:tbl>
    <w:p w14:paraId="797A0A26" w14:textId="77777777" w:rsidR="0003111B" w:rsidRDefault="0003111B"/>
    <w:p w14:paraId="797A0A27" w14:textId="77777777" w:rsidR="0003111B" w:rsidRDefault="00000000">
      <w:pPr>
        <w:pStyle w:val="Heading3"/>
      </w:pPr>
      <w:r>
        <w:lastRenderedPageBreak/>
        <w:t>Strategy 3.2: Diversify the Visitor Economy Across Four Seasons</w:t>
      </w:r>
    </w:p>
    <w:tbl>
      <w:tblPr>
        <w:tblStyle w:val="aa"/>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160"/>
        <w:gridCol w:w="7260"/>
      </w:tblGrid>
      <w:tr w:rsidR="0003111B" w14:paraId="797A0A2A" w14:textId="77777777">
        <w:tc>
          <w:tcPr>
            <w:tcW w:w="2160" w:type="dxa"/>
            <w:shd w:val="clear" w:color="auto" w:fill="316472"/>
          </w:tcPr>
          <w:p w14:paraId="797A0A28" w14:textId="77777777" w:rsidR="0003111B" w:rsidRDefault="00000000">
            <w:r>
              <w:rPr>
                <w:b/>
                <w:bCs/>
                <w:color w:val="FFFFFF"/>
                <w:sz w:val="20"/>
                <w:szCs w:val="20"/>
              </w:rPr>
              <w:t>Element</w:t>
            </w:r>
          </w:p>
        </w:tc>
        <w:tc>
          <w:tcPr>
            <w:tcW w:w="7260" w:type="dxa"/>
            <w:shd w:val="clear" w:color="auto" w:fill="316472"/>
          </w:tcPr>
          <w:p w14:paraId="797A0A29" w14:textId="77777777" w:rsidR="0003111B" w:rsidRDefault="00000000">
            <w:r>
              <w:rPr>
                <w:b/>
                <w:bCs/>
                <w:color w:val="FFFFFF"/>
                <w:sz w:val="20"/>
                <w:szCs w:val="20"/>
              </w:rPr>
              <w:t>Detail</w:t>
            </w:r>
          </w:p>
        </w:tc>
      </w:tr>
      <w:tr w:rsidR="0003111B" w14:paraId="797A0A2D" w14:textId="77777777">
        <w:tc>
          <w:tcPr>
            <w:tcW w:w="2160" w:type="dxa"/>
          </w:tcPr>
          <w:p w14:paraId="797A0A2B" w14:textId="77777777" w:rsidR="0003111B" w:rsidRDefault="00000000">
            <w:r>
              <w:rPr>
                <w:sz w:val="20"/>
                <w:szCs w:val="20"/>
              </w:rPr>
              <w:t>Strategy</w:t>
            </w:r>
          </w:p>
        </w:tc>
        <w:tc>
          <w:tcPr>
            <w:tcW w:w="7260" w:type="dxa"/>
          </w:tcPr>
          <w:p w14:paraId="797A0A2C" w14:textId="77777777" w:rsidR="0003111B" w:rsidRDefault="00000000">
            <w:r>
              <w:rPr>
                <w:sz w:val="20"/>
                <w:szCs w:val="20"/>
              </w:rPr>
              <w:t>Reduce concentration of economic activity in winter ski season and summer peak.</w:t>
            </w:r>
          </w:p>
        </w:tc>
      </w:tr>
      <w:tr w:rsidR="0003111B" w14:paraId="797A0A30" w14:textId="77777777">
        <w:tc>
          <w:tcPr>
            <w:tcW w:w="2160" w:type="dxa"/>
            <w:shd w:val="clear" w:color="auto" w:fill="F2F7F8"/>
          </w:tcPr>
          <w:p w14:paraId="797A0A2E" w14:textId="77777777" w:rsidR="0003111B" w:rsidRDefault="00000000">
            <w:r>
              <w:rPr>
                <w:sz w:val="20"/>
                <w:szCs w:val="20"/>
              </w:rPr>
              <w:t>Actions</w:t>
            </w:r>
          </w:p>
        </w:tc>
        <w:tc>
          <w:tcPr>
            <w:tcW w:w="7260" w:type="dxa"/>
            <w:shd w:val="clear" w:color="auto" w:fill="F2F7F8"/>
          </w:tcPr>
          <w:p w14:paraId="797A0A2F" w14:textId="77777777" w:rsidR="0003111B" w:rsidRDefault="00000000">
            <w:r>
              <w:rPr>
                <w:sz w:val="20"/>
                <w:szCs w:val="20"/>
              </w:rPr>
              <w:t>• Shoulder season product development (fall festivals, spring events, cultural programming)</w:t>
            </w:r>
            <w:r>
              <w:rPr>
                <w:sz w:val="20"/>
                <w:szCs w:val="20"/>
              </w:rPr>
              <w:br/>
              <w:t>• Agritourism in Grand and Jackson counties</w:t>
            </w:r>
            <w:r>
              <w:rPr>
                <w:sz w:val="20"/>
                <w:szCs w:val="20"/>
              </w:rPr>
              <w:br/>
              <w:t>• Cultural and heritage tourism (mining history, ranching culture)</w:t>
            </w:r>
            <w:r>
              <w:rPr>
                <w:sz w:val="20"/>
                <w:szCs w:val="20"/>
              </w:rPr>
              <w:br/>
              <w:t>• Conference and retreat market using off-peak resort capacity</w:t>
            </w:r>
            <w:r>
              <w:rPr>
                <w:sz w:val="20"/>
                <w:szCs w:val="20"/>
              </w:rPr>
              <w:br/>
              <w:t>• Mountain biking, fishing, and non-snow recreation investment</w:t>
            </w:r>
            <w:r>
              <w:rPr>
                <w:sz w:val="20"/>
                <w:szCs w:val="20"/>
              </w:rPr>
              <w:br/>
              <w:t>• Model: Niseko’s premium agriculture/wine diversification alongside ski tourism</w:t>
            </w:r>
          </w:p>
        </w:tc>
      </w:tr>
      <w:tr w:rsidR="0003111B" w14:paraId="797A0A33" w14:textId="77777777">
        <w:tc>
          <w:tcPr>
            <w:tcW w:w="2160" w:type="dxa"/>
          </w:tcPr>
          <w:p w14:paraId="797A0A31" w14:textId="77777777" w:rsidR="0003111B" w:rsidRDefault="00000000">
            <w:r>
              <w:rPr>
                <w:sz w:val="20"/>
                <w:szCs w:val="20"/>
              </w:rPr>
              <w:t>Owner</w:t>
            </w:r>
          </w:p>
        </w:tc>
        <w:tc>
          <w:tcPr>
            <w:tcW w:w="7260" w:type="dxa"/>
          </w:tcPr>
          <w:p w14:paraId="797A0A32" w14:textId="77777777" w:rsidR="0003111B" w:rsidRDefault="00000000">
            <w:r>
              <w:rPr>
                <w:sz w:val="20"/>
                <w:szCs w:val="20"/>
              </w:rPr>
              <w:t>[TO BE CLAIMED — Resort operators? County tourism boards? Arts councils?]</w:t>
            </w:r>
          </w:p>
        </w:tc>
      </w:tr>
      <w:tr w:rsidR="0003111B" w14:paraId="797A0A36" w14:textId="77777777">
        <w:tc>
          <w:tcPr>
            <w:tcW w:w="2160" w:type="dxa"/>
            <w:shd w:val="clear" w:color="auto" w:fill="F2F7F8"/>
          </w:tcPr>
          <w:p w14:paraId="797A0A34" w14:textId="77777777" w:rsidR="0003111B" w:rsidRDefault="00000000">
            <w:r>
              <w:rPr>
                <w:sz w:val="20"/>
                <w:szCs w:val="20"/>
              </w:rPr>
              <w:t>Timeframe</w:t>
            </w:r>
          </w:p>
        </w:tc>
        <w:tc>
          <w:tcPr>
            <w:tcW w:w="7260" w:type="dxa"/>
            <w:shd w:val="clear" w:color="auto" w:fill="F2F7F8"/>
          </w:tcPr>
          <w:p w14:paraId="797A0A35" w14:textId="77777777" w:rsidR="0003111B" w:rsidRDefault="00000000">
            <w:r>
              <w:rPr>
                <w:sz w:val="20"/>
                <w:szCs w:val="20"/>
              </w:rPr>
              <w:t>Medium-term</w:t>
            </w:r>
          </w:p>
        </w:tc>
      </w:tr>
      <w:tr w:rsidR="0003111B" w14:paraId="797A0A39" w14:textId="77777777">
        <w:tc>
          <w:tcPr>
            <w:tcW w:w="2160" w:type="dxa"/>
          </w:tcPr>
          <w:p w14:paraId="797A0A37" w14:textId="77777777" w:rsidR="0003111B" w:rsidRDefault="00000000">
            <w:r>
              <w:rPr>
                <w:sz w:val="20"/>
                <w:szCs w:val="20"/>
              </w:rPr>
              <w:t>From 2021 CEDS?</w:t>
            </w:r>
          </w:p>
        </w:tc>
        <w:tc>
          <w:tcPr>
            <w:tcW w:w="7260" w:type="dxa"/>
          </w:tcPr>
          <w:p w14:paraId="797A0A38" w14:textId="77777777" w:rsidR="0003111B" w:rsidRDefault="00000000">
            <w:r>
              <w:rPr>
                <w:sz w:val="20"/>
                <w:szCs w:val="20"/>
              </w:rPr>
              <w:t>Builds on 2021; adds specificity and international models</w:t>
            </w:r>
          </w:p>
        </w:tc>
      </w:tr>
    </w:tbl>
    <w:p w14:paraId="797A0A3A" w14:textId="77777777" w:rsidR="0003111B" w:rsidRDefault="0003111B"/>
    <w:p w14:paraId="797A0A3B" w14:textId="77777777" w:rsidR="0003111B" w:rsidRDefault="00000000">
      <w:pPr>
        <w:pStyle w:val="Heading3"/>
      </w:pPr>
      <w:r>
        <w:t>Strategy 3.3: Protect the Natural Assets That Drive Everything</w:t>
      </w:r>
    </w:p>
    <w:tbl>
      <w:tblPr>
        <w:tblStyle w:val="ab"/>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040"/>
        <w:gridCol w:w="7380"/>
      </w:tblGrid>
      <w:tr w:rsidR="0003111B" w14:paraId="797A0A3E" w14:textId="77777777">
        <w:tc>
          <w:tcPr>
            <w:tcW w:w="2040" w:type="dxa"/>
            <w:shd w:val="clear" w:color="auto" w:fill="316472"/>
          </w:tcPr>
          <w:p w14:paraId="797A0A3C" w14:textId="77777777" w:rsidR="0003111B" w:rsidRDefault="00000000">
            <w:r>
              <w:rPr>
                <w:b/>
                <w:bCs/>
                <w:color w:val="FFFFFF"/>
                <w:sz w:val="20"/>
                <w:szCs w:val="20"/>
              </w:rPr>
              <w:t>Element</w:t>
            </w:r>
          </w:p>
        </w:tc>
        <w:tc>
          <w:tcPr>
            <w:tcW w:w="7380" w:type="dxa"/>
            <w:shd w:val="clear" w:color="auto" w:fill="316472"/>
          </w:tcPr>
          <w:p w14:paraId="797A0A3D" w14:textId="77777777" w:rsidR="0003111B" w:rsidRDefault="00000000">
            <w:r>
              <w:rPr>
                <w:b/>
                <w:bCs/>
                <w:color w:val="FFFFFF"/>
                <w:sz w:val="20"/>
                <w:szCs w:val="20"/>
              </w:rPr>
              <w:t>Detail</w:t>
            </w:r>
          </w:p>
        </w:tc>
      </w:tr>
      <w:tr w:rsidR="0003111B" w14:paraId="797A0A41" w14:textId="77777777">
        <w:tc>
          <w:tcPr>
            <w:tcW w:w="2040" w:type="dxa"/>
          </w:tcPr>
          <w:p w14:paraId="797A0A3F" w14:textId="77777777" w:rsidR="0003111B" w:rsidRDefault="00000000">
            <w:r>
              <w:rPr>
                <w:sz w:val="20"/>
                <w:szCs w:val="20"/>
              </w:rPr>
              <w:t>Strategy</w:t>
            </w:r>
          </w:p>
        </w:tc>
        <w:tc>
          <w:tcPr>
            <w:tcW w:w="7380" w:type="dxa"/>
          </w:tcPr>
          <w:p w14:paraId="797A0A40" w14:textId="77777777" w:rsidR="0003111B" w:rsidRDefault="00000000">
            <w:r>
              <w:rPr>
                <w:sz w:val="20"/>
                <w:szCs w:val="20"/>
              </w:rPr>
              <w:t>Invest proactively in forest health, water, trails, and air quality.</w:t>
            </w:r>
          </w:p>
        </w:tc>
      </w:tr>
      <w:tr w:rsidR="0003111B" w14:paraId="797A0A44" w14:textId="77777777">
        <w:tc>
          <w:tcPr>
            <w:tcW w:w="2040" w:type="dxa"/>
            <w:shd w:val="clear" w:color="auto" w:fill="F2F7F8"/>
          </w:tcPr>
          <w:p w14:paraId="797A0A42" w14:textId="77777777" w:rsidR="0003111B" w:rsidRDefault="00000000">
            <w:r>
              <w:rPr>
                <w:sz w:val="20"/>
                <w:szCs w:val="20"/>
              </w:rPr>
              <w:t>Actions</w:t>
            </w:r>
          </w:p>
        </w:tc>
        <w:tc>
          <w:tcPr>
            <w:tcW w:w="7380" w:type="dxa"/>
            <w:shd w:val="clear" w:color="auto" w:fill="F2F7F8"/>
          </w:tcPr>
          <w:p w14:paraId="797A0A43" w14:textId="77777777" w:rsidR="0003111B" w:rsidRDefault="00000000">
            <w:r>
              <w:rPr>
                <w:sz w:val="20"/>
                <w:szCs w:val="20"/>
              </w:rPr>
              <w:t>• Regional forest health investment and wildfire mitigation coordination</w:t>
            </w:r>
            <w:r>
              <w:rPr>
                <w:sz w:val="20"/>
                <w:szCs w:val="20"/>
              </w:rPr>
              <w:br/>
              <w:t>• Sustainable trail management with carrying capacity analysis</w:t>
            </w:r>
            <w:r>
              <w:rPr>
                <w:sz w:val="20"/>
                <w:szCs w:val="20"/>
              </w:rPr>
              <w:br/>
              <w:t>• Water conservation frameworks across all five counties</w:t>
            </w:r>
            <w:r>
              <w:rPr>
                <w:sz w:val="20"/>
                <w:szCs w:val="20"/>
              </w:rPr>
              <w:br/>
              <w:t>• Air quality monitoring and smoke impact planning</w:t>
            </w:r>
            <w:r>
              <w:rPr>
                <w:sz w:val="20"/>
                <w:szCs w:val="20"/>
              </w:rPr>
              <w:br/>
              <w:t>• Public lands stewardship partnerships with USFS and BLM</w:t>
            </w:r>
            <w:r>
              <w:rPr>
                <w:sz w:val="20"/>
                <w:szCs w:val="20"/>
              </w:rPr>
              <w:br/>
              <w:t>• Explore Park City’s biochar program: wildfire mitigation wood → carbon sequestration → soil improvement</w:t>
            </w:r>
          </w:p>
        </w:tc>
      </w:tr>
      <w:tr w:rsidR="0003111B" w14:paraId="797A0A47" w14:textId="77777777">
        <w:tc>
          <w:tcPr>
            <w:tcW w:w="2040" w:type="dxa"/>
          </w:tcPr>
          <w:p w14:paraId="797A0A45" w14:textId="77777777" w:rsidR="0003111B" w:rsidRDefault="00000000">
            <w:r>
              <w:rPr>
                <w:sz w:val="20"/>
                <w:szCs w:val="20"/>
              </w:rPr>
              <w:t>Owner</w:t>
            </w:r>
          </w:p>
        </w:tc>
        <w:tc>
          <w:tcPr>
            <w:tcW w:w="7380" w:type="dxa"/>
          </w:tcPr>
          <w:p w14:paraId="797A0A46" w14:textId="77777777" w:rsidR="0003111B" w:rsidRDefault="00000000">
            <w:r>
              <w:rPr>
                <w:sz w:val="20"/>
                <w:szCs w:val="20"/>
              </w:rPr>
              <w:t>[TO BE CLAIMED — County governments? Conservation districts? USFS partners?]</w:t>
            </w:r>
          </w:p>
        </w:tc>
      </w:tr>
      <w:tr w:rsidR="0003111B" w14:paraId="797A0A4A" w14:textId="77777777">
        <w:tc>
          <w:tcPr>
            <w:tcW w:w="2040" w:type="dxa"/>
            <w:shd w:val="clear" w:color="auto" w:fill="F2F7F8"/>
          </w:tcPr>
          <w:p w14:paraId="797A0A48" w14:textId="77777777" w:rsidR="0003111B" w:rsidRDefault="00000000">
            <w:r>
              <w:rPr>
                <w:sz w:val="20"/>
                <w:szCs w:val="20"/>
              </w:rPr>
              <w:t>Timeframe</w:t>
            </w:r>
          </w:p>
        </w:tc>
        <w:tc>
          <w:tcPr>
            <w:tcW w:w="7380" w:type="dxa"/>
            <w:shd w:val="clear" w:color="auto" w:fill="F2F7F8"/>
          </w:tcPr>
          <w:p w14:paraId="797A0A49" w14:textId="77777777" w:rsidR="0003111B" w:rsidRDefault="00000000">
            <w:r>
              <w:rPr>
                <w:sz w:val="20"/>
                <w:szCs w:val="20"/>
              </w:rPr>
              <w:t>Ongoing</w:t>
            </w:r>
          </w:p>
        </w:tc>
      </w:tr>
      <w:tr w:rsidR="0003111B" w14:paraId="797A0A4D" w14:textId="77777777">
        <w:tc>
          <w:tcPr>
            <w:tcW w:w="2040" w:type="dxa"/>
          </w:tcPr>
          <w:p w14:paraId="797A0A4B" w14:textId="77777777" w:rsidR="0003111B" w:rsidRDefault="00000000">
            <w:r>
              <w:rPr>
                <w:sz w:val="20"/>
                <w:szCs w:val="20"/>
              </w:rPr>
              <w:t>From 2021 CEDS?</w:t>
            </w:r>
          </w:p>
        </w:tc>
        <w:tc>
          <w:tcPr>
            <w:tcW w:w="7380" w:type="dxa"/>
          </w:tcPr>
          <w:p w14:paraId="797A0A4C" w14:textId="77777777" w:rsidR="0003111B" w:rsidRDefault="00000000">
            <w:r>
              <w:rPr>
                <w:sz w:val="20"/>
                <w:szCs w:val="20"/>
              </w:rPr>
              <w:t>INTENSIFIED from 2021. International models add specificity.</w:t>
            </w:r>
          </w:p>
        </w:tc>
      </w:tr>
    </w:tbl>
    <w:p w14:paraId="797A0A4E" w14:textId="77777777" w:rsidR="0003111B" w:rsidRDefault="0003111B"/>
    <w:p w14:paraId="797A0A4F" w14:textId="77777777" w:rsidR="0003111B" w:rsidRDefault="00000000">
      <w:pPr>
        <w:pStyle w:val="Heading2"/>
      </w:pPr>
      <w:r>
        <w:t>Pillar 4: Regional Resilience</w:t>
      </w:r>
    </w:p>
    <w:p w14:paraId="797A0A50" w14:textId="77777777" w:rsidR="0003111B" w:rsidRDefault="00000000">
      <w:r>
        <w:rPr>
          <w:b/>
          <w:bCs/>
          <w:color w:val="1A2E44"/>
        </w:rPr>
        <w:t xml:space="preserve">Goal: </w:t>
      </w:r>
      <w:r>
        <w:t>Restructure the regional economy and governance to withstand unreliable winters, climate disruption, and political fragmentation — and build the execution capacity to actually deliver on regional strategies.</w:t>
      </w:r>
    </w:p>
    <w:p w14:paraId="797A0A51" w14:textId="77777777" w:rsidR="0003111B" w:rsidRDefault="00000000">
      <w:pPr>
        <w:pStyle w:val="Heading3"/>
      </w:pPr>
      <w:r>
        <w:t>Strategy 4.1: Plan for Unreliable Winters as Baseline</w:t>
      </w:r>
    </w:p>
    <w:tbl>
      <w:tblPr>
        <w:tblStyle w:val="ac"/>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055"/>
        <w:gridCol w:w="7365"/>
      </w:tblGrid>
      <w:tr w:rsidR="0003111B" w14:paraId="797A0A54" w14:textId="77777777">
        <w:tc>
          <w:tcPr>
            <w:tcW w:w="2055" w:type="dxa"/>
            <w:shd w:val="clear" w:color="auto" w:fill="316472"/>
          </w:tcPr>
          <w:p w14:paraId="797A0A52" w14:textId="77777777" w:rsidR="0003111B" w:rsidRDefault="00000000">
            <w:r>
              <w:rPr>
                <w:b/>
                <w:bCs/>
                <w:color w:val="FFFFFF"/>
                <w:sz w:val="20"/>
                <w:szCs w:val="20"/>
              </w:rPr>
              <w:t>Element</w:t>
            </w:r>
          </w:p>
        </w:tc>
        <w:tc>
          <w:tcPr>
            <w:tcW w:w="7365" w:type="dxa"/>
            <w:shd w:val="clear" w:color="auto" w:fill="316472"/>
          </w:tcPr>
          <w:p w14:paraId="797A0A53" w14:textId="77777777" w:rsidR="0003111B" w:rsidRDefault="00000000">
            <w:r>
              <w:rPr>
                <w:b/>
                <w:bCs/>
                <w:color w:val="FFFFFF"/>
                <w:sz w:val="20"/>
                <w:szCs w:val="20"/>
              </w:rPr>
              <w:t>Detail</w:t>
            </w:r>
          </w:p>
        </w:tc>
      </w:tr>
      <w:tr w:rsidR="0003111B" w14:paraId="797A0A57" w14:textId="77777777">
        <w:tc>
          <w:tcPr>
            <w:tcW w:w="2055" w:type="dxa"/>
          </w:tcPr>
          <w:p w14:paraId="797A0A55" w14:textId="77777777" w:rsidR="0003111B" w:rsidRDefault="00000000">
            <w:r>
              <w:rPr>
                <w:sz w:val="20"/>
                <w:szCs w:val="20"/>
              </w:rPr>
              <w:lastRenderedPageBreak/>
              <w:t>Strategy</w:t>
            </w:r>
          </w:p>
        </w:tc>
        <w:tc>
          <w:tcPr>
            <w:tcW w:w="7365" w:type="dxa"/>
          </w:tcPr>
          <w:p w14:paraId="797A0A56" w14:textId="77777777" w:rsidR="0003111B" w:rsidRDefault="00000000">
            <w:r>
              <w:rPr>
                <w:sz w:val="20"/>
                <w:szCs w:val="20"/>
              </w:rPr>
              <w:t>Treat low-snow winters as a recurring condition, not an anomaly.</w:t>
            </w:r>
          </w:p>
        </w:tc>
      </w:tr>
      <w:tr w:rsidR="0003111B" w14:paraId="797A0A5A" w14:textId="77777777">
        <w:tc>
          <w:tcPr>
            <w:tcW w:w="2055" w:type="dxa"/>
            <w:shd w:val="clear" w:color="auto" w:fill="F2F7F8"/>
          </w:tcPr>
          <w:p w14:paraId="797A0A58" w14:textId="77777777" w:rsidR="0003111B" w:rsidRDefault="00000000">
            <w:r>
              <w:rPr>
                <w:sz w:val="20"/>
                <w:szCs w:val="20"/>
              </w:rPr>
              <w:t>Actions</w:t>
            </w:r>
          </w:p>
        </w:tc>
        <w:tc>
          <w:tcPr>
            <w:tcW w:w="7365" w:type="dxa"/>
            <w:shd w:val="clear" w:color="auto" w:fill="F2F7F8"/>
          </w:tcPr>
          <w:p w14:paraId="797A0A59" w14:textId="77777777" w:rsidR="0003111B" w:rsidRDefault="00000000">
            <w:r>
              <w:rPr>
                <w:sz w:val="20"/>
                <w:szCs w:val="20"/>
              </w:rPr>
              <w:t>• Snow-independent economic modeling for all five counties</w:t>
            </w:r>
            <w:r>
              <w:rPr>
                <w:sz w:val="20"/>
                <w:szCs w:val="20"/>
              </w:rPr>
              <w:br/>
              <w:t>• Business continuity planning and TA for low-snow years</w:t>
            </w:r>
            <w:r>
              <w:rPr>
                <w:sz w:val="20"/>
                <w:szCs w:val="20"/>
              </w:rPr>
              <w:br/>
              <w:t>• Resort diversification incentives (year-round activities, non-ski revenue)</w:t>
            </w:r>
            <w:r>
              <w:rPr>
                <w:sz w:val="20"/>
                <w:szCs w:val="20"/>
              </w:rPr>
              <w:br/>
              <w:t>• Regional economic stabilization fund for poor-winter years</w:t>
            </w:r>
            <w:r>
              <w:rPr>
                <w:sz w:val="20"/>
                <w:szCs w:val="20"/>
              </w:rPr>
              <w:br/>
              <w:t>• Drought contingency integrated with economic strategy</w:t>
            </w:r>
            <w:r>
              <w:rPr>
                <w:sz w:val="20"/>
                <w:szCs w:val="20"/>
              </w:rPr>
              <w:br/>
              <w:t>• Model: Vermont’s Climate Outdoors Workforce Initiative — retrain mountain workers for weatherization, renewables, climate-smart forestry</w:t>
            </w:r>
          </w:p>
        </w:tc>
      </w:tr>
      <w:tr w:rsidR="0003111B" w14:paraId="797A0A5D" w14:textId="77777777">
        <w:tc>
          <w:tcPr>
            <w:tcW w:w="2055" w:type="dxa"/>
          </w:tcPr>
          <w:p w14:paraId="797A0A5B" w14:textId="77777777" w:rsidR="0003111B" w:rsidRDefault="00000000">
            <w:r>
              <w:rPr>
                <w:sz w:val="20"/>
                <w:szCs w:val="20"/>
              </w:rPr>
              <w:t>Owner</w:t>
            </w:r>
          </w:p>
        </w:tc>
        <w:tc>
          <w:tcPr>
            <w:tcW w:w="7365" w:type="dxa"/>
          </w:tcPr>
          <w:p w14:paraId="797A0A5C" w14:textId="77777777" w:rsidR="0003111B" w:rsidRDefault="00000000">
            <w:r>
              <w:rPr>
                <w:sz w:val="20"/>
                <w:szCs w:val="20"/>
              </w:rPr>
              <w:t>[TO BE CLAIMED — Resort operators? County economic development? NWCCOG?]</w:t>
            </w:r>
          </w:p>
        </w:tc>
      </w:tr>
      <w:tr w:rsidR="0003111B" w14:paraId="797A0A60" w14:textId="77777777">
        <w:tc>
          <w:tcPr>
            <w:tcW w:w="2055" w:type="dxa"/>
            <w:shd w:val="clear" w:color="auto" w:fill="F2F7F8"/>
          </w:tcPr>
          <w:p w14:paraId="797A0A5E" w14:textId="77777777" w:rsidR="0003111B" w:rsidRDefault="00000000">
            <w:r>
              <w:rPr>
                <w:sz w:val="20"/>
                <w:szCs w:val="20"/>
              </w:rPr>
              <w:t>Timeframe</w:t>
            </w:r>
          </w:p>
        </w:tc>
        <w:tc>
          <w:tcPr>
            <w:tcW w:w="7365" w:type="dxa"/>
            <w:shd w:val="clear" w:color="auto" w:fill="F2F7F8"/>
          </w:tcPr>
          <w:p w14:paraId="797A0A5F" w14:textId="77777777" w:rsidR="0003111B" w:rsidRDefault="00000000">
            <w:r>
              <w:rPr>
                <w:sz w:val="20"/>
                <w:szCs w:val="20"/>
              </w:rPr>
              <w:t>Short-term (planning) + Long-term (implementation)</w:t>
            </w:r>
          </w:p>
        </w:tc>
      </w:tr>
      <w:tr w:rsidR="0003111B" w14:paraId="797A0A63" w14:textId="77777777">
        <w:tc>
          <w:tcPr>
            <w:tcW w:w="2055" w:type="dxa"/>
          </w:tcPr>
          <w:p w14:paraId="797A0A61" w14:textId="77777777" w:rsidR="0003111B" w:rsidRDefault="00000000">
            <w:r>
              <w:rPr>
                <w:sz w:val="20"/>
                <w:szCs w:val="20"/>
              </w:rPr>
              <w:t>From 2021 CEDS?</w:t>
            </w:r>
          </w:p>
        </w:tc>
        <w:tc>
          <w:tcPr>
            <w:tcW w:w="7365" w:type="dxa"/>
          </w:tcPr>
          <w:p w14:paraId="797A0A62" w14:textId="77777777" w:rsidR="0003111B" w:rsidRDefault="00000000">
            <w:r>
              <w:rPr>
                <w:sz w:val="20"/>
                <w:szCs w:val="20"/>
              </w:rPr>
              <w:t>REFRAMED — 2021 CEDS treated as future threat; now a present condition</w:t>
            </w:r>
          </w:p>
        </w:tc>
      </w:tr>
    </w:tbl>
    <w:p w14:paraId="797A0A64" w14:textId="77777777" w:rsidR="0003111B" w:rsidRDefault="0003111B"/>
    <w:p w14:paraId="797A0A65" w14:textId="77777777" w:rsidR="0003111B" w:rsidRDefault="00000000">
      <w:pPr>
        <w:pStyle w:val="Heading3"/>
      </w:pPr>
      <w:r>
        <w:t>Strategy 4.2: Build Regional Transportation Connectivity</w:t>
      </w:r>
    </w:p>
    <w:tbl>
      <w:tblPr>
        <w:tblStyle w:val="ad"/>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710"/>
        <w:gridCol w:w="7710"/>
      </w:tblGrid>
      <w:tr w:rsidR="0003111B" w14:paraId="797A0A68" w14:textId="77777777">
        <w:tc>
          <w:tcPr>
            <w:tcW w:w="1710" w:type="dxa"/>
            <w:shd w:val="clear" w:color="auto" w:fill="316472"/>
          </w:tcPr>
          <w:p w14:paraId="797A0A66" w14:textId="77777777" w:rsidR="0003111B" w:rsidRDefault="00000000">
            <w:r>
              <w:rPr>
                <w:b/>
                <w:bCs/>
                <w:color w:val="FFFFFF"/>
                <w:sz w:val="20"/>
                <w:szCs w:val="20"/>
              </w:rPr>
              <w:t>Element</w:t>
            </w:r>
          </w:p>
        </w:tc>
        <w:tc>
          <w:tcPr>
            <w:tcW w:w="7710" w:type="dxa"/>
            <w:shd w:val="clear" w:color="auto" w:fill="316472"/>
          </w:tcPr>
          <w:p w14:paraId="797A0A67" w14:textId="77777777" w:rsidR="0003111B" w:rsidRDefault="00000000">
            <w:r>
              <w:rPr>
                <w:b/>
                <w:bCs/>
                <w:color w:val="FFFFFF"/>
                <w:sz w:val="20"/>
                <w:szCs w:val="20"/>
              </w:rPr>
              <w:t>Detail</w:t>
            </w:r>
          </w:p>
        </w:tc>
      </w:tr>
      <w:tr w:rsidR="0003111B" w14:paraId="797A0A6B" w14:textId="77777777">
        <w:tc>
          <w:tcPr>
            <w:tcW w:w="1710" w:type="dxa"/>
          </w:tcPr>
          <w:p w14:paraId="797A0A69" w14:textId="77777777" w:rsidR="0003111B" w:rsidRDefault="00000000">
            <w:r>
              <w:rPr>
                <w:sz w:val="20"/>
                <w:szCs w:val="20"/>
              </w:rPr>
              <w:t>Strategy</w:t>
            </w:r>
          </w:p>
        </w:tc>
        <w:tc>
          <w:tcPr>
            <w:tcW w:w="7710" w:type="dxa"/>
          </w:tcPr>
          <w:p w14:paraId="797A0A6A" w14:textId="77777777" w:rsidR="0003111B" w:rsidRDefault="00000000">
            <w:r>
              <w:rPr>
                <w:sz w:val="20"/>
                <w:szCs w:val="20"/>
              </w:rPr>
              <w:t>Advance concrete projects that reduce I-70 dependence and connect communities.</w:t>
            </w:r>
          </w:p>
        </w:tc>
      </w:tr>
      <w:tr w:rsidR="0003111B" w14:paraId="797A0A6E" w14:textId="77777777">
        <w:tc>
          <w:tcPr>
            <w:tcW w:w="1710" w:type="dxa"/>
            <w:shd w:val="clear" w:color="auto" w:fill="F2F7F8"/>
          </w:tcPr>
          <w:p w14:paraId="797A0A6C" w14:textId="77777777" w:rsidR="0003111B" w:rsidRDefault="00000000">
            <w:r>
              <w:rPr>
                <w:sz w:val="20"/>
                <w:szCs w:val="20"/>
              </w:rPr>
              <w:t>Actions</w:t>
            </w:r>
          </w:p>
        </w:tc>
        <w:tc>
          <w:tcPr>
            <w:tcW w:w="7710" w:type="dxa"/>
            <w:shd w:val="clear" w:color="auto" w:fill="F2F7F8"/>
          </w:tcPr>
          <w:p w14:paraId="797A0A6D" w14:textId="77777777" w:rsidR="0003111B" w:rsidRDefault="00000000">
            <w:r>
              <w:rPr>
                <w:sz w:val="20"/>
                <w:szCs w:val="20"/>
              </w:rPr>
              <w:t>• Mountain Rail feasibility study (Amtrak + northern connector)</w:t>
            </w:r>
            <w:r>
              <w:rPr>
                <w:sz w:val="20"/>
                <w:szCs w:val="20"/>
              </w:rPr>
              <w:br/>
              <w:t>• Expand regional transit coordination across county boundaries</w:t>
            </w:r>
            <w:r>
              <w:rPr>
                <w:sz w:val="20"/>
                <w:szCs w:val="20"/>
              </w:rPr>
              <w:br/>
              <w:t>• I-70 alternative route analysis</w:t>
            </w:r>
            <w:r>
              <w:rPr>
                <w:sz w:val="20"/>
                <w:szCs w:val="20"/>
              </w:rPr>
              <w:br/>
              <w:t xml:space="preserve">• </w:t>
            </w:r>
            <w:commentRangeStart w:id="9"/>
            <w:r>
              <w:rPr>
                <w:sz w:val="20"/>
                <w:szCs w:val="20"/>
              </w:rPr>
              <w:t>Regional airport connectivity strategy</w:t>
            </w:r>
            <w:commentRangeEnd w:id="9"/>
            <w:r>
              <w:rPr>
                <w:rStyle w:val="CommentReference"/>
                <w:sz w:val="20"/>
                <w:szCs w:val="20"/>
              </w:rPr>
              <w:commentReference w:id="9"/>
            </w:r>
            <w:r>
              <w:rPr>
                <w:sz w:val="20"/>
                <w:szCs w:val="20"/>
              </w:rPr>
              <w:br/>
              <w:t>• Active transportation infrastructure (e-bike networks, inter-community trails)</w:t>
            </w:r>
            <w:r>
              <w:rPr>
                <w:sz w:val="20"/>
                <w:szCs w:val="20"/>
              </w:rPr>
              <w:br/>
              <w:t>• Plan for 80+ transportation needs (Vintage partnership)</w:t>
            </w:r>
          </w:p>
        </w:tc>
      </w:tr>
      <w:tr w:rsidR="0003111B" w14:paraId="797A0A71" w14:textId="77777777">
        <w:tc>
          <w:tcPr>
            <w:tcW w:w="1710" w:type="dxa"/>
          </w:tcPr>
          <w:p w14:paraId="797A0A6F" w14:textId="77777777" w:rsidR="0003111B" w:rsidRDefault="00000000">
            <w:r>
              <w:rPr>
                <w:sz w:val="20"/>
                <w:szCs w:val="20"/>
              </w:rPr>
              <w:t>Owner</w:t>
            </w:r>
          </w:p>
        </w:tc>
        <w:tc>
          <w:tcPr>
            <w:tcW w:w="7710" w:type="dxa"/>
          </w:tcPr>
          <w:p w14:paraId="797A0A70" w14:textId="77777777" w:rsidR="0003111B" w:rsidRDefault="00000000">
            <w:r>
              <w:rPr>
                <w:sz w:val="20"/>
                <w:szCs w:val="20"/>
              </w:rPr>
              <w:t>[TO BE CLAIMED — CDOT? ECO Transit? County commissioners? Mountain Rail coalition?]</w:t>
            </w:r>
          </w:p>
        </w:tc>
      </w:tr>
      <w:tr w:rsidR="0003111B" w14:paraId="797A0A74" w14:textId="77777777">
        <w:tc>
          <w:tcPr>
            <w:tcW w:w="1710" w:type="dxa"/>
            <w:shd w:val="clear" w:color="auto" w:fill="F2F7F8"/>
          </w:tcPr>
          <w:p w14:paraId="797A0A72" w14:textId="77777777" w:rsidR="0003111B" w:rsidRDefault="00000000">
            <w:r>
              <w:rPr>
                <w:sz w:val="20"/>
                <w:szCs w:val="20"/>
              </w:rPr>
              <w:t>Timeframe</w:t>
            </w:r>
          </w:p>
        </w:tc>
        <w:tc>
          <w:tcPr>
            <w:tcW w:w="7710" w:type="dxa"/>
            <w:shd w:val="clear" w:color="auto" w:fill="F2F7F8"/>
          </w:tcPr>
          <w:p w14:paraId="797A0A73" w14:textId="77777777" w:rsidR="0003111B" w:rsidRDefault="00000000">
            <w:r>
              <w:rPr>
                <w:sz w:val="20"/>
                <w:szCs w:val="20"/>
              </w:rPr>
              <w:t>Short-term (feasibility) + Long-term (capital projects)</w:t>
            </w:r>
          </w:p>
        </w:tc>
      </w:tr>
      <w:tr w:rsidR="0003111B" w14:paraId="797A0A77" w14:textId="77777777">
        <w:tc>
          <w:tcPr>
            <w:tcW w:w="1710" w:type="dxa"/>
          </w:tcPr>
          <w:p w14:paraId="797A0A75" w14:textId="77777777" w:rsidR="0003111B" w:rsidRDefault="00000000">
            <w:r>
              <w:rPr>
                <w:sz w:val="20"/>
                <w:szCs w:val="20"/>
              </w:rPr>
              <w:t>From 2021 CEDS?</w:t>
            </w:r>
          </w:p>
        </w:tc>
        <w:tc>
          <w:tcPr>
            <w:tcW w:w="7710" w:type="dxa"/>
          </w:tcPr>
          <w:p w14:paraId="797A0A76" w14:textId="77777777" w:rsidR="0003111B" w:rsidRDefault="00000000">
            <w:r>
              <w:rPr>
                <w:sz w:val="20"/>
                <w:szCs w:val="20"/>
              </w:rPr>
              <w:t>ELEVATED — Mountain Rail concept is new and actionable</w:t>
            </w:r>
          </w:p>
        </w:tc>
      </w:tr>
    </w:tbl>
    <w:p w14:paraId="797A0A78" w14:textId="77777777" w:rsidR="0003111B" w:rsidRDefault="0003111B"/>
    <w:p w14:paraId="797A0A79" w14:textId="77777777" w:rsidR="0003111B" w:rsidRDefault="00000000">
      <w:pPr>
        <w:pStyle w:val="Heading3"/>
      </w:pPr>
      <w:r>
        <w:t>Strategy 4.3: Strengthen Regional Governance and Execution Capacity</w:t>
      </w:r>
    </w:p>
    <w:tbl>
      <w:tblPr>
        <w:tblStyle w:val="ae"/>
        <w:tblW w:w="9420"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1995"/>
        <w:gridCol w:w="7425"/>
      </w:tblGrid>
      <w:tr w:rsidR="0003111B" w14:paraId="797A0A7C" w14:textId="77777777">
        <w:tc>
          <w:tcPr>
            <w:tcW w:w="1995" w:type="dxa"/>
            <w:shd w:val="clear" w:color="auto" w:fill="316472"/>
          </w:tcPr>
          <w:p w14:paraId="797A0A7A" w14:textId="77777777" w:rsidR="0003111B" w:rsidRDefault="00000000">
            <w:r>
              <w:rPr>
                <w:b/>
                <w:bCs/>
                <w:color w:val="FFFFFF"/>
                <w:sz w:val="20"/>
                <w:szCs w:val="20"/>
              </w:rPr>
              <w:t>Element</w:t>
            </w:r>
          </w:p>
        </w:tc>
        <w:tc>
          <w:tcPr>
            <w:tcW w:w="7425" w:type="dxa"/>
            <w:shd w:val="clear" w:color="auto" w:fill="316472"/>
          </w:tcPr>
          <w:p w14:paraId="797A0A7B" w14:textId="77777777" w:rsidR="0003111B" w:rsidRDefault="00000000">
            <w:r>
              <w:rPr>
                <w:b/>
                <w:bCs/>
                <w:color w:val="FFFFFF"/>
                <w:sz w:val="20"/>
                <w:szCs w:val="20"/>
              </w:rPr>
              <w:t>Detail</w:t>
            </w:r>
          </w:p>
        </w:tc>
      </w:tr>
      <w:tr w:rsidR="0003111B" w14:paraId="797A0A7F" w14:textId="77777777">
        <w:tc>
          <w:tcPr>
            <w:tcW w:w="1995" w:type="dxa"/>
          </w:tcPr>
          <w:p w14:paraId="797A0A7D" w14:textId="77777777" w:rsidR="0003111B" w:rsidRDefault="00000000">
            <w:r>
              <w:rPr>
                <w:sz w:val="20"/>
                <w:szCs w:val="20"/>
              </w:rPr>
              <w:t>Strategy</w:t>
            </w:r>
          </w:p>
        </w:tc>
        <w:tc>
          <w:tcPr>
            <w:tcW w:w="7425" w:type="dxa"/>
          </w:tcPr>
          <w:p w14:paraId="797A0A7E" w14:textId="77777777" w:rsidR="0003111B" w:rsidRDefault="00000000">
            <w:r>
              <w:rPr>
                <w:sz w:val="20"/>
                <w:szCs w:val="20"/>
              </w:rPr>
              <w:t>Address both political fragmentation and the execution capacity gap that prevents strategies from becoming actions.</w:t>
            </w:r>
          </w:p>
        </w:tc>
      </w:tr>
      <w:tr w:rsidR="0003111B" w14:paraId="797A0A82" w14:textId="77777777">
        <w:tc>
          <w:tcPr>
            <w:tcW w:w="1995" w:type="dxa"/>
            <w:shd w:val="clear" w:color="auto" w:fill="F2F7F8"/>
          </w:tcPr>
          <w:p w14:paraId="797A0A80" w14:textId="77777777" w:rsidR="0003111B" w:rsidRDefault="00000000">
            <w:r>
              <w:rPr>
                <w:sz w:val="20"/>
                <w:szCs w:val="20"/>
              </w:rPr>
              <w:t>Actions</w:t>
            </w:r>
          </w:p>
        </w:tc>
        <w:tc>
          <w:tcPr>
            <w:tcW w:w="7425" w:type="dxa"/>
            <w:shd w:val="clear" w:color="auto" w:fill="F2F7F8"/>
          </w:tcPr>
          <w:p w14:paraId="797A0A81" w14:textId="77777777" w:rsidR="0003111B" w:rsidRDefault="00000000">
            <w:r>
              <w:rPr>
                <w:sz w:val="20"/>
                <w:szCs w:val="20"/>
              </w:rPr>
              <w:t>• CEDS ownership model with named stakeholder champions per strategy</w:t>
            </w:r>
            <w:r>
              <w:rPr>
                <w:sz w:val="20"/>
                <w:szCs w:val="20"/>
              </w:rPr>
              <w:br/>
              <w:t>• Annual regional alignment summit (continue this event as recurring)</w:t>
            </w:r>
            <w:r>
              <w:rPr>
                <w:sz w:val="20"/>
                <w:szCs w:val="20"/>
              </w:rPr>
              <w:br/>
              <w:t>• Cross-county mutual aid and resource-sharing agreements</w:t>
            </w:r>
            <w:r>
              <w:rPr>
                <w:sz w:val="20"/>
                <w:szCs w:val="20"/>
              </w:rPr>
              <w:br/>
              <w:t>• Build institutional capacity in counties that lack it (Grand County, Jackson County economic development infrastructure)</w:t>
            </w:r>
            <w:r>
              <w:rPr>
                <w:sz w:val="20"/>
                <w:szCs w:val="20"/>
              </w:rPr>
              <w:br/>
              <w:t>• Explore shared-services models for functions that every small town needs but can’t staff alone</w:t>
            </w:r>
            <w:r>
              <w:rPr>
                <w:sz w:val="20"/>
                <w:szCs w:val="20"/>
              </w:rPr>
              <w:br/>
              <w:t>• County-by-county CEDS adoption resolutions</w:t>
            </w:r>
            <w:r>
              <w:rPr>
                <w:sz w:val="20"/>
                <w:szCs w:val="20"/>
              </w:rPr>
              <w:br/>
              <w:t xml:space="preserve">• Model: Whistler’s Economic Partnership Initiative (municipality + tourism + chamber + </w:t>
            </w:r>
            <w:r>
              <w:rPr>
                <w:sz w:val="20"/>
                <w:szCs w:val="20"/>
              </w:rPr>
              <w:lastRenderedPageBreak/>
              <w:t>hotel association + resort operator on one permanent committee)</w:t>
            </w:r>
            <w:r>
              <w:rPr>
                <w:sz w:val="20"/>
                <w:szCs w:val="20"/>
              </w:rPr>
              <w:br/>
              <w:t>• Model: Andermatt-Sedrun-Disentis strategic committee (3 municipalities + 2 tourism orgs + joint working group)</w:t>
            </w:r>
          </w:p>
        </w:tc>
      </w:tr>
      <w:tr w:rsidR="0003111B" w14:paraId="797A0A85" w14:textId="77777777">
        <w:tc>
          <w:tcPr>
            <w:tcW w:w="1995" w:type="dxa"/>
          </w:tcPr>
          <w:p w14:paraId="797A0A83" w14:textId="77777777" w:rsidR="0003111B" w:rsidRDefault="00000000">
            <w:r>
              <w:rPr>
                <w:sz w:val="20"/>
                <w:szCs w:val="20"/>
              </w:rPr>
              <w:lastRenderedPageBreak/>
              <w:t>Owner</w:t>
            </w:r>
          </w:p>
        </w:tc>
        <w:tc>
          <w:tcPr>
            <w:tcW w:w="7425" w:type="dxa"/>
          </w:tcPr>
          <w:p w14:paraId="797A0A84" w14:textId="77777777" w:rsidR="0003111B" w:rsidRDefault="00000000">
            <w:r>
              <w:rPr>
                <w:sz w:val="20"/>
                <w:szCs w:val="20"/>
              </w:rPr>
              <w:t>[NWCCOG should anchor this one — with named co-owners from each county]</w:t>
            </w:r>
          </w:p>
        </w:tc>
      </w:tr>
      <w:tr w:rsidR="0003111B" w14:paraId="797A0A88" w14:textId="77777777">
        <w:tc>
          <w:tcPr>
            <w:tcW w:w="1995" w:type="dxa"/>
            <w:shd w:val="clear" w:color="auto" w:fill="F2F7F8"/>
          </w:tcPr>
          <w:p w14:paraId="797A0A86" w14:textId="77777777" w:rsidR="0003111B" w:rsidRDefault="00000000">
            <w:r>
              <w:rPr>
                <w:sz w:val="20"/>
                <w:szCs w:val="20"/>
              </w:rPr>
              <w:t>Timeframe</w:t>
            </w:r>
          </w:p>
        </w:tc>
        <w:tc>
          <w:tcPr>
            <w:tcW w:w="7425" w:type="dxa"/>
            <w:shd w:val="clear" w:color="auto" w:fill="F2F7F8"/>
          </w:tcPr>
          <w:p w14:paraId="797A0A87" w14:textId="77777777" w:rsidR="0003111B" w:rsidRDefault="00000000">
            <w:r>
              <w:rPr>
                <w:sz w:val="20"/>
                <w:szCs w:val="20"/>
              </w:rPr>
              <w:t>Ongoing</w:t>
            </w:r>
          </w:p>
        </w:tc>
      </w:tr>
      <w:tr w:rsidR="0003111B" w14:paraId="797A0A8B" w14:textId="77777777">
        <w:tc>
          <w:tcPr>
            <w:tcW w:w="1995" w:type="dxa"/>
          </w:tcPr>
          <w:p w14:paraId="797A0A89" w14:textId="77777777" w:rsidR="0003111B" w:rsidRDefault="00000000">
            <w:r>
              <w:rPr>
                <w:sz w:val="20"/>
                <w:szCs w:val="20"/>
              </w:rPr>
              <w:t>From 2021 CEDS?</w:t>
            </w:r>
          </w:p>
        </w:tc>
        <w:tc>
          <w:tcPr>
            <w:tcW w:w="7425" w:type="dxa"/>
          </w:tcPr>
          <w:p w14:paraId="797A0A8A" w14:textId="77777777" w:rsidR="0003111B" w:rsidRDefault="00000000">
            <w:r>
              <w:rPr>
                <w:sz w:val="20"/>
                <w:szCs w:val="20"/>
              </w:rPr>
              <w:t>NEW — Responds directly to Carl’s execution-capacity finding and the fragmentation concern</w:t>
            </w:r>
          </w:p>
        </w:tc>
      </w:tr>
    </w:tbl>
    <w:p w14:paraId="797A0A8C" w14:textId="77777777" w:rsidR="0003111B" w:rsidRDefault="0003111B"/>
    <w:p w14:paraId="797A0A8D" w14:textId="77777777" w:rsidR="0003111B" w:rsidRDefault="00000000">
      <w:r>
        <w:br w:type="page"/>
      </w:r>
    </w:p>
    <w:p w14:paraId="797A0A8E" w14:textId="77777777" w:rsidR="0003111B" w:rsidRDefault="00000000">
      <w:pPr>
        <w:pStyle w:val="Heading1"/>
      </w:pPr>
      <w:r>
        <w:lastRenderedPageBreak/>
        <w:t>Section 3: What Peer Regions Are Doing</w:t>
      </w:r>
    </w:p>
    <w:p w14:paraId="797A0A8F" w14:textId="77777777" w:rsidR="0003111B" w:rsidRDefault="00000000">
      <w:r>
        <w:t>AI-assisted deep research analyzed 15+ mountain and resort regions worldwide that face the same convergence of pressures as NWCCOG: remote worker in-migration, climate-threatened seasonal economies, workforce-housing mismatch, transportation isolation, and energy transition. The research covered published strategy documents from 2020–2025.</w:t>
      </w:r>
    </w:p>
    <w:p w14:paraId="797A0A90" w14:textId="77777777" w:rsidR="0003111B" w:rsidRDefault="00000000">
      <w:r>
        <w:t>Three patterns emerge across every peer region studied:</w:t>
      </w:r>
    </w:p>
    <w:p w14:paraId="797A0A91" w14:textId="77777777" w:rsidR="0003111B" w:rsidRDefault="00000000">
      <w:pPr>
        <w:numPr>
          <w:ilvl w:val="0"/>
          <w:numId w:val="1"/>
        </w:numPr>
        <w:pBdr>
          <w:top w:val="nil"/>
          <w:left w:val="nil"/>
          <w:bottom w:val="nil"/>
          <w:right w:val="nil"/>
          <w:between w:val="nil"/>
        </w:pBdr>
        <w:spacing w:after="0"/>
      </w:pPr>
      <w:r>
        <w:rPr>
          <w:b/>
          <w:bCs/>
        </w:rPr>
        <w:t xml:space="preserve">Housing is treated as infrastructure, </w:t>
      </w:r>
      <w:r>
        <w:t>not a market problem. Every mature resort region has a permanent housing authority, published workforce-housing targets, and dedicated funding streams (resort tax, hotel tax, developer fees).</w:t>
      </w:r>
    </w:p>
    <w:p w14:paraId="797A0A92" w14:textId="77777777" w:rsidR="0003111B" w:rsidRDefault="00000000">
      <w:pPr>
        <w:numPr>
          <w:ilvl w:val="0"/>
          <w:numId w:val="1"/>
        </w:numPr>
        <w:pBdr>
          <w:top w:val="nil"/>
          <w:left w:val="nil"/>
          <w:bottom w:val="nil"/>
          <w:right w:val="nil"/>
          <w:between w:val="nil"/>
        </w:pBdr>
        <w:spacing w:after="0"/>
      </w:pPr>
      <w:r>
        <w:rPr>
          <w:b/>
          <w:bCs/>
        </w:rPr>
        <w:t xml:space="preserve">Climate adaptation is economic strategy, </w:t>
      </w:r>
      <w:r>
        <w:t>not an environmental side-issue. The most advanced regions (Whistler, Queenstown, Niseko, Davos) integrate climate planning directly into economic development, not into a separate sustainability office.</w:t>
      </w:r>
    </w:p>
    <w:p w14:paraId="797A0A93" w14:textId="77777777" w:rsidR="0003111B" w:rsidRDefault="00000000">
      <w:pPr>
        <w:numPr>
          <w:ilvl w:val="0"/>
          <w:numId w:val="1"/>
        </w:numPr>
        <w:pBdr>
          <w:top w:val="nil"/>
          <w:left w:val="nil"/>
          <w:bottom w:val="nil"/>
          <w:right w:val="nil"/>
          <w:between w:val="nil"/>
        </w:pBdr>
      </w:pPr>
      <w:r>
        <w:rPr>
          <w:b/>
          <w:bCs/>
        </w:rPr>
        <w:t xml:space="preserve">Regional governance is a competitive advantage. </w:t>
      </w:r>
      <w:r>
        <w:t>Individual mountain counties are too small to tackle these problems alone. The regions that are winning have formal multi-jurisdictional bodies with permanent mandates — not just CEDS steering committees.</w:t>
      </w:r>
    </w:p>
    <w:p w14:paraId="797A0A94" w14:textId="77777777" w:rsidR="0003111B" w:rsidRDefault="00000000">
      <w:pPr>
        <w:pStyle w:val="Heading2"/>
      </w:pPr>
      <w:r>
        <w:t>Peer Region Comparison Table</w:t>
      </w:r>
    </w:p>
    <w:p w14:paraId="797A0A95" w14:textId="77777777" w:rsidR="0003111B" w:rsidRDefault="00000000">
      <w:r>
        <w:t>The following table highlights the most transferable strategies from peer regions, mapped against NWCCOG’s four pillars.</w:t>
      </w:r>
    </w:p>
    <w:tbl>
      <w:tblPr>
        <w:tblStyle w:val="af"/>
        <w:tblW w:w="9404" w:type="dxa"/>
        <w:tblInd w:w="-115"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2351"/>
        <w:gridCol w:w="2351"/>
        <w:gridCol w:w="2351"/>
        <w:gridCol w:w="2351"/>
      </w:tblGrid>
      <w:tr w:rsidR="0003111B" w14:paraId="797A0A9A" w14:textId="77777777">
        <w:tc>
          <w:tcPr>
            <w:tcW w:w="2351" w:type="dxa"/>
            <w:shd w:val="clear" w:color="auto" w:fill="316472"/>
          </w:tcPr>
          <w:p w14:paraId="797A0A96" w14:textId="77777777" w:rsidR="0003111B" w:rsidRDefault="00000000">
            <w:r>
              <w:rPr>
                <w:b/>
                <w:bCs/>
                <w:color w:val="FFFFFF"/>
                <w:sz w:val="20"/>
                <w:szCs w:val="20"/>
              </w:rPr>
              <w:t>Region</w:t>
            </w:r>
          </w:p>
        </w:tc>
        <w:tc>
          <w:tcPr>
            <w:tcW w:w="2351" w:type="dxa"/>
            <w:shd w:val="clear" w:color="auto" w:fill="316472"/>
          </w:tcPr>
          <w:p w14:paraId="797A0A97" w14:textId="77777777" w:rsidR="0003111B" w:rsidRDefault="00000000">
            <w:r>
              <w:rPr>
                <w:b/>
                <w:bCs/>
                <w:color w:val="FFFFFF"/>
                <w:sz w:val="20"/>
                <w:szCs w:val="20"/>
              </w:rPr>
              <w:t>Innovation</w:t>
            </w:r>
          </w:p>
        </w:tc>
        <w:tc>
          <w:tcPr>
            <w:tcW w:w="2351" w:type="dxa"/>
            <w:shd w:val="clear" w:color="auto" w:fill="316472"/>
          </w:tcPr>
          <w:p w14:paraId="797A0A98" w14:textId="77777777" w:rsidR="0003111B" w:rsidRDefault="00000000">
            <w:r>
              <w:rPr>
                <w:b/>
                <w:bCs/>
                <w:color w:val="FFFFFF"/>
                <w:sz w:val="20"/>
                <w:szCs w:val="20"/>
              </w:rPr>
              <w:t>NWCCOG Pillar</w:t>
            </w:r>
          </w:p>
        </w:tc>
        <w:tc>
          <w:tcPr>
            <w:tcW w:w="2351" w:type="dxa"/>
            <w:shd w:val="clear" w:color="auto" w:fill="316472"/>
          </w:tcPr>
          <w:p w14:paraId="797A0A99" w14:textId="77777777" w:rsidR="0003111B" w:rsidRDefault="00000000">
            <w:r>
              <w:rPr>
                <w:b/>
                <w:bCs/>
                <w:color w:val="FFFFFF"/>
                <w:sz w:val="20"/>
                <w:szCs w:val="20"/>
              </w:rPr>
              <w:t>How It Translates</w:t>
            </w:r>
          </w:p>
        </w:tc>
      </w:tr>
      <w:tr w:rsidR="0003111B" w14:paraId="797A0A9F" w14:textId="77777777">
        <w:tc>
          <w:tcPr>
            <w:tcW w:w="2351" w:type="dxa"/>
          </w:tcPr>
          <w:p w14:paraId="797A0A9B" w14:textId="77777777" w:rsidR="0003111B" w:rsidRDefault="00000000">
            <w:r>
              <w:rPr>
                <w:sz w:val="20"/>
                <w:szCs w:val="20"/>
              </w:rPr>
              <w:t>Big Sky, MT</w:t>
            </w:r>
          </w:p>
        </w:tc>
        <w:tc>
          <w:tcPr>
            <w:tcW w:w="2351" w:type="dxa"/>
          </w:tcPr>
          <w:p w14:paraId="797A0A9C" w14:textId="77777777" w:rsidR="0003111B" w:rsidRDefault="00000000">
            <w:r>
              <w:rPr>
                <w:sz w:val="20"/>
                <w:szCs w:val="20"/>
              </w:rPr>
              <w:t>$60M resort-tax bond for 389 deed-restricted homes on 99 acres (“Cold Smoke”). Largest community land trust project in the US.</w:t>
            </w:r>
          </w:p>
        </w:tc>
        <w:tc>
          <w:tcPr>
            <w:tcW w:w="2351" w:type="dxa"/>
          </w:tcPr>
          <w:p w14:paraId="797A0A9D" w14:textId="77777777" w:rsidR="0003111B" w:rsidRDefault="00000000">
            <w:r>
              <w:rPr>
                <w:sz w:val="20"/>
                <w:szCs w:val="20"/>
              </w:rPr>
              <w:t>Community Continuity</w:t>
            </w:r>
          </w:p>
        </w:tc>
        <w:tc>
          <w:tcPr>
            <w:tcW w:w="2351" w:type="dxa"/>
          </w:tcPr>
          <w:p w14:paraId="797A0A9E" w14:textId="77777777" w:rsidR="0003111B" w:rsidRDefault="00000000">
            <w:r>
              <w:rPr>
                <w:sz w:val="20"/>
                <w:szCs w:val="20"/>
              </w:rPr>
              <w:t>Several NWCCOG communities have Local Marketing Districts or resort-tax authorities. Bond capacity may be underutilized for housing.</w:t>
            </w:r>
          </w:p>
        </w:tc>
      </w:tr>
      <w:tr w:rsidR="0003111B" w14:paraId="797A0AA4" w14:textId="77777777">
        <w:tc>
          <w:tcPr>
            <w:tcW w:w="2351" w:type="dxa"/>
            <w:shd w:val="clear" w:color="auto" w:fill="F2F7F8"/>
          </w:tcPr>
          <w:p w14:paraId="797A0AA0" w14:textId="77777777" w:rsidR="0003111B" w:rsidRDefault="00000000">
            <w:r>
              <w:rPr>
                <w:sz w:val="20"/>
                <w:szCs w:val="20"/>
              </w:rPr>
              <w:t>Mammoth Lakes, CA</w:t>
            </w:r>
          </w:p>
        </w:tc>
        <w:tc>
          <w:tcPr>
            <w:tcW w:w="2351" w:type="dxa"/>
            <w:shd w:val="clear" w:color="auto" w:fill="F2F7F8"/>
          </w:tcPr>
          <w:p w14:paraId="797A0AA1" w14:textId="77777777" w:rsidR="0003111B" w:rsidRDefault="00000000">
            <w:r>
              <w:rPr>
                <w:sz w:val="20"/>
                <w:szCs w:val="20"/>
              </w:rPr>
              <w:t>“Lease to Locals”: $2K–$24K incentives to convert STRs to long-term workforce leases.</w:t>
            </w:r>
          </w:p>
        </w:tc>
        <w:tc>
          <w:tcPr>
            <w:tcW w:w="2351" w:type="dxa"/>
            <w:shd w:val="clear" w:color="auto" w:fill="F2F7F8"/>
          </w:tcPr>
          <w:p w14:paraId="797A0AA2" w14:textId="77777777" w:rsidR="0003111B" w:rsidRDefault="00000000">
            <w:r>
              <w:rPr>
                <w:sz w:val="20"/>
                <w:szCs w:val="20"/>
              </w:rPr>
              <w:t>Community Continuity</w:t>
            </w:r>
          </w:p>
        </w:tc>
        <w:tc>
          <w:tcPr>
            <w:tcW w:w="2351" w:type="dxa"/>
            <w:shd w:val="clear" w:color="auto" w:fill="F2F7F8"/>
          </w:tcPr>
          <w:p w14:paraId="797A0AA3" w14:textId="77777777" w:rsidR="0003111B" w:rsidRDefault="00000000">
            <w:r>
              <w:rPr>
                <w:sz w:val="20"/>
                <w:szCs w:val="20"/>
              </w:rPr>
              <w:t>Directly relevant to Grand County (57.4% of housing vacant/seasonal). No Colorado equivalent at scale.</w:t>
            </w:r>
          </w:p>
        </w:tc>
      </w:tr>
      <w:tr w:rsidR="0003111B" w14:paraId="797A0AA9" w14:textId="77777777">
        <w:tc>
          <w:tcPr>
            <w:tcW w:w="2351" w:type="dxa"/>
          </w:tcPr>
          <w:p w14:paraId="797A0AA5" w14:textId="77777777" w:rsidR="0003111B" w:rsidRDefault="00000000">
            <w:r>
              <w:rPr>
                <w:sz w:val="20"/>
                <w:szCs w:val="20"/>
              </w:rPr>
              <w:t>Whistler, BC</w:t>
            </w:r>
          </w:p>
        </w:tc>
        <w:tc>
          <w:tcPr>
            <w:tcW w:w="2351" w:type="dxa"/>
          </w:tcPr>
          <w:p w14:paraId="797A0AA6" w14:textId="77777777" w:rsidR="0003111B" w:rsidRDefault="00000000">
            <w:r>
              <w:rPr>
                <w:sz w:val="20"/>
                <w:szCs w:val="20"/>
              </w:rPr>
              <w:t>75% local-workforce-housed target. Balance Model carrying-capacity tool. WHA manages 7,500+ affordable bed units.</w:t>
            </w:r>
          </w:p>
        </w:tc>
        <w:tc>
          <w:tcPr>
            <w:tcW w:w="2351" w:type="dxa"/>
          </w:tcPr>
          <w:p w14:paraId="797A0AA7" w14:textId="77777777" w:rsidR="0003111B" w:rsidRDefault="00000000">
            <w:r>
              <w:rPr>
                <w:sz w:val="20"/>
                <w:szCs w:val="20"/>
              </w:rPr>
              <w:t>Community Continuity</w:t>
            </w:r>
          </w:p>
        </w:tc>
        <w:tc>
          <w:tcPr>
            <w:tcW w:w="2351" w:type="dxa"/>
          </w:tcPr>
          <w:p w14:paraId="797A0AA8" w14:textId="77777777" w:rsidR="0003111B" w:rsidRDefault="00000000">
            <w:r>
              <w:rPr>
                <w:sz w:val="20"/>
                <w:szCs w:val="20"/>
              </w:rPr>
              <w:t>NWCCOG has no published regional workforce-housing benchmark. Even an aspirational number creates accountability.</w:t>
            </w:r>
          </w:p>
        </w:tc>
      </w:tr>
      <w:tr w:rsidR="0003111B" w14:paraId="797A0AAE" w14:textId="77777777">
        <w:tc>
          <w:tcPr>
            <w:tcW w:w="2351" w:type="dxa"/>
            <w:shd w:val="clear" w:color="auto" w:fill="F2F7F8"/>
          </w:tcPr>
          <w:p w14:paraId="797A0AAA" w14:textId="77777777" w:rsidR="0003111B" w:rsidRDefault="00000000">
            <w:r>
              <w:rPr>
                <w:sz w:val="20"/>
                <w:szCs w:val="20"/>
              </w:rPr>
              <w:t>Jackson Hole, WY</w:t>
            </w:r>
          </w:p>
        </w:tc>
        <w:tc>
          <w:tcPr>
            <w:tcW w:w="2351" w:type="dxa"/>
            <w:shd w:val="clear" w:color="auto" w:fill="F2F7F8"/>
          </w:tcPr>
          <w:p w14:paraId="797A0AAB" w14:textId="77777777" w:rsidR="0003111B" w:rsidRDefault="00000000">
            <w:r>
              <w:rPr>
                <w:sz w:val="20"/>
                <w:szCs w:val="20"/>
              </w:rPr>
              <w:t xml:space="preserve">2:1 density bonus for workforce housing. Deed-restricted units require </w:t>
            </w:r>
            <w:r>
              <w:rPr>
                <w:sz w:val="20"/>
                <w:szCs w:val="20"/>
              </w:rPr>
              <w:lastRenderedPageBreak/>
              <w:t>local employment — remote workers excluded from restricted stock.</w:t>
            </w:r>
          </w:p>
        </w:tc>
        <w:tc>
          <w:tcPr>
            <w:tcW w:w="2351" w:type="dxa"/>
            <w:shd w:val="clear" w:color="auto" w:fill="F2F7F8"/>
          </w:tcPr>
          <w:p w14:paraId="797A0AAC" w14:textId="77777777" w:rsidR="0003111B" w:rsidRDefault="00000000">
            <w:r>
              <w:rPr>
                <w:sz w:val="20"/>
                <w:szCs w:val="20"/>
              </w:rPr>
              <w:lastRenderedPageBreak/>
              <w:t>Community Continuity</w:t>
            </w:r>
          </w:p>
        </w:tc>
        <w:tc>
          <w:tcPr>
            <w:tcW w:w="2351" w:type="dxa"/>
            <w:shd w:val="clear" w:color="auto" w:fill="F2F7F8"/>
          </w:tcPr>
          <w:p w14:paraId="797A0AAD" w14:textId="77777777" w:rsidR="0003111B" w:rsidRDefault="00000000">
            <w:r>
              <w:rPr>
                <w:sz w:val="20"/>
                <w:szCs w:val="20"/>
              </w:rPr>
              <w:t xml:space="preserve">A model for channeling remote-worker demand: welcome them as </w:t>
            </w:r>
            <w:r>
              <w:rPr>
                <w:sz w:val="20"/>
                <w:szCs w:val="20"/>
              </w:rPr>
              <w:lastRenderedPageBreak/>
              <w:t>residents, but protect deed-restricted housing for locally-employed workers.</w:t>
            </w:r>
          </w:p>
        </w:tc>
      </w:tr>
      <w:tr w:rsidR="0003111B" w14:paraId="797A0AB3" w14:textId="77777777">
        <w:tc>
          <w:tcPr>
            <w:tcW w:w="2351" w:type="dxa"/>
          </w:tcPr>
          <w:p w14:paraId="797A0AAF" w14:textId="77777777" w:rsidR="0003111B" w:rsidRDefault="00000000">
            <w:r>
              <w:rPr>
                <w:sz w:val="20"/>
                <w:szCs w:val="20"/>
              </w:rPr>
              <w:lastRenderedPageBreak/>
              <w:t>Teton Valley, ID</w:t>
            </w:r>
          </w:p>
        </w:tc>
        <w:tc>
          <w:tcPr>
            <w:tcW w:w="2351" w:type="dxa"/>
          </w:tcPr>
          <w:p w14:paraId="797A0AB0" w14:textId="77777777" w:rsidR="0003111B" w:rsidRDefault="00000000">
            <w:r>
              <w:rPr>
                <w:sz w:val="20"/>
                <w:szCs w:val="20"/>
              </w:rPr>
              <w:t>Joint Housing Authority across 3 cities + county + Alta WY workers. Cross-state eligibility.</w:t>
            </w:r>
          </w:p>
        </w:tc>
        <w:tc>
          <w:tcPr>
            <w:tcW w:w="2351" w:type="dxa"/>
          </w:tcPr>
          <w:p w14:paraId="797A0AB1" w14:textId="77777777" w:rsidR="0003111B" w:rsidRDefault="00000000">
            <w:r>
              <w:rPr>
                <w:sz w:val="20"/>
                <w:szCs w:val="20"/>
              </w:rPr>
              <w:t>Community Continuity</w:t>
            </w:r>
          </w:p>
        </w:tc>
        <w:tc>
          <w:tcPr>
            <w:tcW w:w="2351" w:type="dxa"/>
          </w:tcPr>
          <w:p w14:paraId="797A0AB2" w14:textId="77777777" w:rsidR="0003111B" w:rsidRDefault="00000000">
            <w:r>
              <w:rPr>
                <w:sz w:val="20"/>
                <w:szCs w:val="20"/>
              </w:rPr>
              <w:t>A multi-jurisdictional housing authority crossing county (and state) lines. NWCCOG’s counties have separate authorities; a joint model could pool resources.</w:t>
            </w:r>
          </w:p>
        </w:tc>
      </w:tr>
      <w:tr w:rsidR="0003111B" w14:paraId="797A0AB8" w14:textId="77777777">
        <w:tc>
          <w:tcPr>
            <w:tcW w:w="2351" w:type="dxa"/>
            <w:shd w:val="clear" w:color="auto" w:fill="F2F7F8"/>
          </w:tcPr>
          <w:p w14:paraId="797A0AB4" w14:textId="77777777" w:rsidR="0003111B" w:rsidRDefault="00000000">
            <w:r>
              <w:rPr>
                <w:sz w:val="20"/>
                <w:szCs w:val="20"/>
              </w:rPr>
              <w:t>Sun Valley / Blaine County, ID</w:t>
            </w:r>
          </w:p>
        </w:tc>
        <w:tc>
          <w:tcPr>
            <w:tcW w:w="2351" w:type="dxa"/>
            <w:shd w:val="clear" w:color="auto" w:fill="F2F7F8"/>
          </w:tcPr>
          <w:p w14:paraId="797A0AB5" w14:textId="77777777" w:rsidR="0003111B" w:rsidRDefault="00000000">
            <w:r>
              <w:rPr>
                <w:sz w:val="20"/>
                <w:szCs w:val="20"/>
              </w:rPr>
              <w:t>Remote workers = $110K GDP per person. Actively market “Quality of Place” to recruit location-neutral talent.</w:t>
            </w:r>
          </w:p>
        </w:tc>
        <w:tc>
          <w:tcPr>
            <w:tcW w:w="2351" w:type="dxa"/>
            <w:shd w:val="clear" w:color="auto" w:fill="F2F7F8"/>
          </w:tcPr>
          <w:p w14:paraId="797A0AB6" w14:textId="77777777" w:rsidR="0003111B" w:rsidRDefault="00000000">
            <w:r>
              <w:rPr>
                <w:sz w:val="20"/>
                <w:szCs w:val="20"/>
              </w:rPr>
              <w:t>Economic Diversification</w:t>
            </w:r>
          </w:p>
        </w:tc>
        <w:tc>
          <w:tcPr>
            <w:tcW w:w="2351" w:type="dxa"/>
            <w:shd w:val="clear" w:color="auto" w:fill="F2F7F8"/>
          </w:tcPr>
          <w:p w14:paraId="797A0AB7" w14:textId="77777777" w:rsidR="0003111B" w:rsidRDefault="00000000">
            <w:r>
              <w:rPr>
                <w:sz w:val="20"/>
                <w:szCs w:val="20"/>
              </w:rPr>
              <w:t>NWCCOG has no published stance on remote workers. Blaine County treats them as a defined economic sector to recruit.</w:t>
            </w:r>
          </w:p>
        </w:tc>
      </w:tr>
      <w:tr w:rsidR="0003111B" w14:paraId="797A0ABD" w14:textId="77777777">
        <w:tc>
          <w:tcPr>
            <w:tcW w:w="2351" w:type="dxa"/>
          </w:tcPr>
          <w:p w14:paraId="797A0AB9" w14:textId="77777777" w:rsidR="0003111B" w:rsidRDefault="00000000">
            <w:r>
              <w:rPr>
                <w:sz w:val="20"/>
                <w:szCs w:val="20"/>
              </w:rPr>
              <w:t>Queenstown, NZ</w:t>
            </w:r>
          </w:p>
        </w:tc>
        <w:tc>
          <w:tcPr>
            <w:tcW w:w="2351" w:type="dxa"/>
          </w:tcPr>
          <w:p w14:paraId="797A0ABA" w14:textId="77777777" w:rsidR="0003111B" w:rsidRDefault="00000000">
            <w:r>
              <w:rPr>
                <w:sz w:val="20"/>
                <w:szCs w:val="20"/>
              </w:rPr>
              <w:t>Standalone Economic Diversification Plan with its own budget. “Host-Tech”: productizing tourism expertise for export.</w:t>
            </w:r>
          </w:p>
        </w:tc>
        <w:tc>
          <w:tcPr>
            <w:tcW w:w="2351" w:type="dxa"/>
          </w:tcPr>
          <w:p w14:paraId="797A0ABB" w14:textId="77777777" w:rsidR="0003111B" w:rsidRDefault="00000000">
            <w:r>
              <w:rPr>
                <w:sz w:val="20"/>
                <w:szCs w:val="20"/>
              </w:rPr>
              <w:t>Economic Diversification</w:t>
            </w:r>
          </w:p>
        </w:tc>
        <w:tc>
          <w:tcPr>
            <w:tcW w:w="2351" w:type="dxa"/>
          </w:tcPr>
          <w:p w14:paraId="797A0ABC" w14:textId="77777777" w:rsidR="0003111B" w:rsidRDefault="00000000">
            <w:r>
              <w:rPr>
                <w:sz w:val="20"/>
                <w:szCs w:val="20"/>
              </w:rPr>
              <w:t>NWCCOG buries diversification inside the CEDS. A freestanding plan signals seriousness and creates its own implementation accountability.</w:t>
            </w:r>
          </w:p>
        </w:tc>
      </w:tr>
      <w:tr w:rsidR="0003111B" w14:paraId="797A0AC2" w14:textId="77777777">
        <w:tc>
          <w:tcPr>
            <w:tcW w:w="2351" w:type="dxa"/>
            <w:shd w:val="clear" w:color="auto" w:fill="F2F7F8"/>
          </w:tcPr>
          <w:p w14:paraId="797A0ABE" w14:textId="77777777" w:rsidR="0003111B" w:rsidRDefault="00000000">
            <w:r>
              <w:rPr>
                <w:sz w:val="20"/>
                <w:szCs w:val="20"/>
              </w:rPr>
              <w:t>Santa Fe, NM</w:t>
            </w:r>
          </w:p>
        </w:tc>
        <w:tc>
          <w:tcPr>
            <w:tcW w:w="2351" w:type="dxa"/>
            <w:shd w:val="clear" w:color="auto" w:fill="F2F7F8"/>
          </w:tcPr>
          <w:p w14:paraId="797A0ABF" w14:textId="77777777" w:rsidR="0003111B" w:rsidRDefault="00000000">
            <w:r>
              <w:rPr>
                <w:sz w:val="20"/>
                <w:szCs w:val="20"/>
              </w:rPr>
              <w:t>LEDA: direct municipal ownership/lease of land and buildings to target industry clusters. 60% non-tourism GDP target by 2030.</w:t>
            </w:r>
          </w:p>
        </w:tc>
        <w:tc>
          <w:tcPr>
            <w:tcW w:w="2351" w:type="dxa"/>
            <w:shd w:val="clear" w:color="auto" w:fill="F2F7F8"/>
          </w:tcPr>
          <w:p w14:paraId="797A0AC0" w14:textId="77777777" w:rsidR="0003111B" w:rsidRDefault="00000000">
            <w:r>
              <w:rPr>
                <w:sz w:val="20"/>
                <w:szCs w:val="20"/>
              </w:rPr>
              <w:t>Economic Diversification</w:t>
            </w:r>
          </w:p>
        </w:tc>
        <w:tc>
          <w:tcPr>
            <w:tcW w:w="2351" w:type="dxa"/>
            <w:shd w:val="clear" w:color="auto" w:fill="F2F7F8"/>
          </w:tcPr>
          <w:p w14:paraId="797A0AC1" w14:textId="77777777" w:rsidR="0003111B" w:rsidRDefault="00000000">
            <w:r>
              <w:rPr>
                <w:sz w:val="20"/>
                <w:szCs w:val="20"/>
              </w:rPr>
              <w:t>A concrete diversification number with a date. NWCCOG could set a similar target.</w:t>
            </w:r>
          </w:p>
        </w:tc>
      </w:tr>
      <w:tr w:rsidR="0003111B" w14:paraId="797A0AC7" w14:textId="77777777">
        <w:tc>
          <w:tcPr>
            <w:tcW w:w="2351" w:type="dxa"/>
          </w:tcPr>
          <w:p w14:paraId="797A0AC3" w14:textId="77777777" w:rsidR="0003111B" w:rsidRDefault="00000000">
            <w:r>
              <w:rPr>
                <w:sz w:val="20"/>
                <w:szCs w:val="20"/>
              </w:rPr>
              <w:t>Niseko, Japan</w:t>
            </w:r>
          </w:p>
        </w:tc>
        <w:tc>
          <w:tcPr>
            <w:tcW w:w="2351" w:type="dxa"/>
          </w:tcPr>
          <w:p w14:paraId="797A0AC4" w14:textId="77777777" w:rsidR="0003111B" w:rsidRDefault="00000000">
            <w:r>
              <w:rPr>
                <w:sz w:val="20"/>
                <w:szCs w:val="20"/>
              </w:rPr>
              <w:t>Glasgow Declaration signatory (carbon-neutral tourism by 2050). Premium agriculture/wine diversification alongside ski tourism.</w:t>
            </w:r>
          </w:p>
        </w:tc>
        <w:tc>
          <w:tcPr>
            <w:tcW w:w="2351" w:type="dxa"/>
          </w:tcPr>
          <w:p w14:paraId="797A0AC5" w14:textId="77777777" w:rsidR="0003111B" w:rsidRDefault="00000000">
            <w:r>
              <w:rPr>
                <w:sz w:val="20"/>
                <w:szCs w:val="20"/>
              </w:rPr>
              <w:t>Destination Stewardship</w:t>
            </w:r>
          </w:p>
        </w:tc>
        <w:tc>
          <w:tcPr>
            <w:tcW w:w="2351" w:type="dxa"/>
          </w:tcPr>
          <w:p w14:paraId="797A0AC6" w14:textId="77777777" w:rsidR="0003111B" w:rsidRDefault="00000000">
            <w:r>
              <w:rPr>
                <w:sz w:val="20"/>
                <w:szCs w:val="20"/>
              </w:rPr>
              <w:t>Four-season diversification using existing brand reputation as a bridge. Directly applicable to NWCCOG’s ski-resort communities.</w:t>
            </w:r>
          </w:p>
        </w:tc>
      </w:tr>
      <w:tr w:rsidR="0003111B" w14:paraId="797A0ACC" w14:textId="77777777">
        <w:tc>
          <w:tcPr>
            <w:tcW w:w="2351" w:type="dxa"/>
            <w:shd w:val="clear" w:color="auto" w:fill="F2F7F8"/>
          </w:tcPr>
          <w:p w14:paraId="797A0AC8" w14:textId="77777777" w:rsidR="0003111B" w:rsidRDefault="00000000">
            <w:r>
              <w:rPr>
                <w:sz w:val="20"/>
                <w:szCs w:val="20"/>
              </w:rPr>
              <w:t>Glenwood Springs, CO</w:t>
            </w:r>
          </w:p>
        </w:tc>
        <w:tc>
          <w:tcPr>
            <w:tcW w:w="2351" w:type="dxa"/>
            <w:shd w:val="clear" w:color="auto" w:fill="F2F7F8"/>
          </w:tcPr>
          <w:p w14:paraId="797A0AC9" w14:textId="77777777" w:rsidR="0003111B" w:rsidRDefault="00000000">
            <w:r>
              <w:rPr>
                <w:sz w:val="20"/>
                <w:szCs w:val="20"/>
              </w:rPr>
              <w:t>“Residents First” destination management. Stopped marketing peak summer.</w:t>
            </w:r>
          </w:p>
        </w:tc>
        <w:tc>
          <w:tcPr>
            <w:tcW w:w="2351" w:type="dxa"/>
            <w:shd w:val="clear" w:color="auto" w:fill="F2F7F8"/>
          </w:tcPr>
          <w:p w14:paraId="797A0ACA" w14:textId="77777777" w:rsidR="0003111B" w:rsidRDefault="00000000">
            <w:r>
              <w:rPr>
                <w:sz w:val="20"/>
                <w:szCs w:val="20"/>
              </w:rPr>
              <w:t>Destination Stewardship</w:t>
            </w:r>
          </w:p>
        </w:tc>
        <w:tc>
          <w:tcPr>
            <w:tcW w:w="2351" w:type="dxa"/>
            <w:shd w:val="clear" w:color="auto" w:fill="F2F7F8"/>
          </w:tcPr>
          <w:p w14:paraId="797A0ACB" w14:textId="77777777" w:rsidR="0003111B" w:rsidRDefault="00000000">
            <w:r>
              <w:rPr>
                <w:sz w:val="20"/>
                <w:szCs w:val="20"/>
              </w:rPr>
              <w:t>Already in the region. The question is whether other communities are ready to adopt this philosophy.</w:t>
            </w:r>
          </w:p>
        </w:tc>
      </w:tr>
      <w:tr w:rsidR="0003111B" w14:paraId="797A0AD1" w14:textId="77777777">
        <w:tc>
          <w:tcPr>
            <w:tcW w:w="2351" w:type="dxa"/>
          </w:tcPr>
          <w:p w14:paraId="797A0ACD" w14:textId="77777777" w:rsidR="0003111B" w:rsidRDefault="00000000">
            <w:r>
              <w:rPr>
                <w:sz w:val="20"/>
                <w:szCs w:val="20"/>
              </w:rPr>
              <w:t>Park City, UT</w:t>
            </w:r>
          </w:p>
        </w:tc>
        <w:tc>
          <w:tcPr>
            <w:tcW w:w="2351" w:type="dxa"/>
          </w:tcPr>
          <w:p w14:paraId="797A0ACE" w14:textId="77777777" w:rsidR="0003111B" w:rsidRDefault="00000000">
            <w:r>
              <w:rPr>
                <w:sz w:val="20"/>
                <w:szCs w:val="20"/>
              </w:rPr>
              <w:t xml:space="preserve">Biochar carbon sequestration from wildfire mitigation wood. HTRZ: transit-oriented </w:t>
            </w:r>
            <w:r>
              <w:rPr>
                <w:sz w:val="20"/>
                <w:szCs w:val="20"/>
              </w:rPr>
              <w:lastRenderedPageBreak/>
              <w:t>housing zones with 800+ units near transit.</w:t>
            </w:r>
          </w:p>
        </w:tc>
        <w:tc>
          <w:tcPr>
            <w:tcW w:w="2351" w:type="dxa"/>
          </w:tcPr>
          <w:p w14:paraId="797A0ACF" w14:textId="77777777" w:rsidR="0003111B" w:rsidRDefault="00000000">
            <w:r>
              <w:rPr>
                <w:sz w:val="20"/>
                <w:szCs w:val="20"/>
              </w:rPr>
              <w:lastRenderedPageBreak/>
              <w:t>Regional Resilience</w:t>
            </w:r>
          </w:p>
        </w:tc>
        <w:tc>
          <w:tcPr>
            <w:tcW w:w="2351" w:type="dxa"/>
          </w:tcPr>
          <w:p w14:paraId="797A0AD0" w14:textId="77777777" w:rsidR="0003111B" w:rsidRDefault="00000000">
            <w:r>
              <w:rPr>
                <w:sz w:val="20"/>
                <w:szCs w:val="20"/>
              </w:rPr>
              <w:t xml:space="preserve">Biochar connects forest health + climate + agriculture. HTRZ model </w:t>
            </w:r>
            <w:r>
              <w:rPr>
                <w:sz w:val="20"/>
                <w:szCs w:val="20"/>
              </w:rPr>
              <w:lastRenderedPageBreak/>
              <w:t>connects housing + transit. Both applicable.</w:t>
            </w:r>
          </w:p>
        </w:tc>
      </w:tr>
      <w:tr w:rsidR="0003111B" w14:paraId="797A0AD6" w14:textId="77777777">
        <w:tc>
          <w:tcPr>
            <w:tcW w:w="2351" w:type="dxa"/>
            <w:shd w:val="clear" w:color="auto" w:fill="F2F7F8"/>
          </w:tcPr>
          <w:p w14:paraId="797A0AD2" w14:textId="77777777" w:rsidR="0003111B" w:rsidRDefault="00000000">
            <w:r>
              <w:rPr>
                <w:sz w:val="20"/>
                <w:szCs w:val="20"/>
              </w:rPr>
              <w:lastRenderedPageBreak/>
              <w:t>Whistler, BC</w:t>
            </w:r>
          </w:p>
        </w:tc>
        <w:tc>
          <w:tcPr>
            <w:tcW w:w="2351" w:type="dxa"/>
            <w:shd w:val="clear" w:color="auto" w:fill="F2F7F8"/>
          </w:tcPr>
          <w:p w14:paraId="797A0AD3" w14:textId="77777777" w:rsidR="0003111B" w:rsidRDefault="00000000">
            <w:r>
              <w:rPr>
                <w:sz w:val="20"/>
                <w:szCs w:val="20"/>
              </w:rPr>
              <w:t>“Big Moves” climate plan: 6 initiatives with GHG targets tied to community plan, strategic plan, AND capital budget.</w:t>
            </w:r>
          </w:p>
        </w:tc>
        <w:tc>
          <w:tcPr>
            <w:tcW w:w="2351" w:type="dxa"/>
            <w:shd w:val="clear" w:color="auto" w:fill="F2F7F8"/>
          </w:tcPr>
          <w:p w14:paraId="797A0AD4" w14:textId="77777777" w:rsidR="0003111B" w:rsidRDefault="00000000">
            <w:r>
              <w:rPr>
                <w:sz w:val="20"/>
                <w:szCs w:val="20"/>
              </w:rPr>
              <w:t>Regional Resilience</w:t>
            </w:r>
          </w:p>
        </w:tc>
        <w:tc>
          <w:tcPr>
            <w:tcW w:w="2351" w:type="dxa"/>
            <w:shd w:val="clear" w:color="auto" w:fill="F2F7F8"/>
          </w:tcPr>
          <w:p w14:paraId="797A0AD5" w14:textId="77777777" w:rsidR="0003111B" w:rsidRDefault="00000000">
            <w:r>
              <w:rPr>
                <w:sz w:val="20"/>
                <w:szCs w:val="20"/>
              </w:rPr>
              <w:t>An integrated climate-economic plan at the regional scale. NWCCOG would be ahead of most US peers.</w:t>
            </w:r>
          </w:p>
        </w:tc>
      </w:tr>
      <w:tr w:rsidR="0003111B" w14:paraId="797A0ADB" w14:textId="77777777">
        <w:tc>
          <w:tcPr>
            <w:tcW w:w="2351" w:type="dxa"/>
          </w:tcPr>
          <w:p w14:paraId="797A0AD7" w14:textId="77777777" w:rsidR="0003111B" w:rsidRDefault="00000000">
            <w:r>
              <w:rPr>
                <w:sz w:val="20"/>
                <w:szCs w:val="20"/>
              </w:rPr>
              <w:t>Vermont</w:t>
            </w:r>
          </w:p>
        </w:tc>
        <w:tc>
          <w:tcPr>
            <w:tcW w:w="2351" w:type="dxa"/>
          </w:tcPr>
          <w:p w14:paraId="797A0AD8" w14:textId="77777777" w:rsidR="0003111B" w:rsidRDefault="00000000">
            <w:r>
              <w:rPr>
                <w:sz w:val="20"/>
                <w:szCs w:val="20"/>
              </w:rPr>
              <w:t>Climate Outdoors Workforce Initiative: retrain mountain workers in weatherization, renewables, climate-smart forestry.</w:t>
            </w:r>
          </w:p>
        </w:tc>
        <w:tc>
          <w:tcPr>
            <w:tcW w:w="2351" w:type="dxa"/>
          </w:tcPr>
          <w:p w14:paraId="797A0AD9" w14:textId="77777777" w:rsidR="0003111B" w:rsidRDefault="00000000">
            <w:r>
              <w:rPr>
                <w:sz w:val="20"/>
                <w:szCs w:val="20"/>
              </w:rPr>
              <w:t>Regional Resilience</w:t>
            </w:r>
          </w:p>
        </w:tc>
        <w:tc>
          <w:tcPr>
            <w:tcW w:w="2351" w:type="dxa"/>
          </w:tcPr>
          <w:p w14:paraId="797A0ADA" w14:textId="77777777" w:rsidR="0003111B" w:rsidRDefault="00000000">
            <w:r>
              <w:rPr>
                <w:sz w:val="20"/>
                <w:szCs w:val="20"/>
              </w:rPr>
              <w:t>Directly applicable to Hayden/Craig energy transition. Redefines “workforce development” for a climate-disrupted economy.</w:t>
            </w:r>
          </w:p>
        </w:tc>
      </w:tr>
      <w:tr w:rsidR="0003111B" w14:paraId="797A0AE0" w14:textId="77777777">
        <w:tc>
          <w:tcPr>
            <w:tcW w:w="2351" w:type="dxa"/>
            <w:shd w:val="clear" w:color="auto" w:fill="F2F7F8"/>
          </w:tcPr>
          <w:p w14:paraId="797A0ADC" w14:textId="77777777" w:rsidR="0003111B" w:rsidRDefault="00000000">
            <w:r>
              <w:rPr>
                <w:sz w:val="20"/>
                <w:szCs w:val="20"/>
              </w:rPr>
              <w:t>Davos, Switzerland</w:t>
            </w:r>
          </w:p>
        </w:tc>
        <w:tc>
          <w:tcPr>
            <w:tcW w:w="2351" w:type="dxa"/>
            <w:shd w:val="clear" w:color="auto" w:fill="F2F7F8"/>
          </w:tcPr>
          <w:p w14:paraId="797A0ADD" w14:textId="77777777" w:rsidR="0003111B" w:rsidRDefault="00000000">
            <w:r>
              <w:rPr>
                <w:sz w:val="20"/>
                <w:szCs w:val="20"/>
              </w:rPr>
              <w:t>Myclimate guest-funded climate finance: voluntary tourist contributions matched by local businesses for building decarbonization.</w:t>
            </w:r>
          </w:p>
        </w:tc>
        <w:tc>
          <w:tcPr>
            <w:tcW w:w="2351" w:type="dxa"/>
            <w:shd w:val="clear" w:color="auto" w:fill="F2F7F8"/>
          </w:tcPr>
          <w:p w14:paraId="797A0ADE" w14:textId="77777777" w:rsidR="0003111B" w:rsidRDefault="00000000">
            <w:r>
              <w:rPr>
                <w:sz w:val="20"/>
                <w:szCs w:val="20"/>
              </w:rPr>
              <w:t>Regional Resilience</w:t>
            </w:r>
          </w:p>
        </w:tc>
        <w:tc>
          <w:tcPr>
            <w:tcW w:w="2351" w:type="dxa"/>
            <w:shd w:val="clear" w:color="auto" w:fill="F2F7F8"/>
          </w:tcPr>
          <w:p w14:paraId="797A0ADF" w14:textId="77777777" w:rsidR="0003111B" w:rsidRDefault="00000000">
            <w:r>
              <w:rPr>
                <w:sz w:val="20"/>
                <w:szCs w:val="20"/>
              </w:rPr>
              <w:t>Tourism-funded climate finance. No US equivalent. NWCCOG could be the first.</w:t>
            </w:r>
          </w:p>
        </w:tc>
      </w:tr>
      <w:tr w:rsidR="0003111B" w14:paraId="797A0AE5" w14:textId="77777777">
        <w:tc>
          <w:tcPr>
            <w:tcW w:w="2351" w:type="dxa"/>
          </w:tcPr>
          <w:p w14:paraId="797A0AE1" w14:textId="77777777" w:rsidR="0003111B" w:rsidRDefault="00000000">
            <w:r>
              <w:rPr>
                <w:sz w:val="20"/>
                <w:szCs w:val="20"/>
              </w:rPr>
              <w:t>Andermatt-Sedrun-Disentis, CH</w:t>
            </w:r>
          </w:p>
        </w:tc>
        <w:tc>
          <w:tcPr>
            <w:tcW w:w="2351" w:type="dxa"/>
          </w:tcPr>
          <w:p w14:paraId="797A0AE2" w14:textId="77777777" w:rsidR="0003111B" w:rsidRDefault="00000000">
            <w:r>
              <w:rPr>
                <w:sz w:val="20"/>
                <w:szCs w:val="20"/>
              </w:rPr>
              <w:t>3-municipality strategic committee with joint working group. Shared destination development across jurisdictions.</w:t>
            </w:r>
          </w:p>
        </w:tc>
        <w:tc>
          <w:tcPr>
            <w:tcW w:w="2351" w:type="dxa"/>
          </w:tcPr>
          <w:p w14:paraId="797A0AE3" w14:textId="77777777" w:rsidR="0003111B" w:rsidRDefault="00000000">
            <w:r>
              <w:rPr>
                <w:sz w:val="20"/>
                <w:szCs w:val="20"/>
              </w:rPr>
              <w:t>Regional Resilience</w:t>
            </w:r>
          </w:p>
        </w:tc>
        <w:tc>
          <w:tcPr>
            <w:tcW w:w="2351" w:type="dxa"/>
          </w:tcPr>
          <w:p w14:paraId="797A0AE4" w14:textId="77777777" w:rsidR="0003111B" w:rsidRDefault="00000000">
            <w:r>
              <w:rPr>
                <w:sz w:val="20"/>
                <w:szCs w:val="20"/>
              </w:rPr>
              <w:t>A permanent multi-jurisdictional governance body with ongoing mandate — stronger than a CEDS steering committee. Model for the I-70 corridor.</w:t>
            </w:r>
          </w:p>
        </w:tc>
      </w:tr>
    </w:tbl>
    <w:p w14:paraId="797A0AE6" w14:textId="77777777" w:rsidR="0003111B" w:rsidRDefault="0003111B"/>
    <w:p w14:paraId="797A0AE7" w14:textId="77777777" w:rsidR="0003111B" w:rsidRDefault="00000000">
      <w:pPr>
        <w:pStyle w:val="Heading2"/>
      </w:pPr>
      <w:r>
        <w:t>The Biggest Gaps</w:t>
      </w:r>
    </w:p>
    <w:p w14:paraId="797A0AE8" w14:textId="77777777" w:rsidR="0003111B" w:rsidRDefault="00000000">
      <w:r>
        <w:t>Based on this research, the strategies that peer regions have and NWCCOG does not:</w:t>
      </w:r>
    </w:p>
    <w:p w14:paraId="797A0AE9" w14:textId="77777777" w:rsidR="0003111B" w:rsidRDefault="00000000">
      <w:pPr>
        <w:numPr>
          <w:ilvl w:val="0"/>
          <w:numId w:val="1"/>
        </w:numPr>
        <w:pBdr>
          <w:top w:val="nil"/>
          <w:left w:val="nil"/>
          <w:bottom w:val="nil"/>
          <w:right w:val="nil"/>
          <w:between w:val="nil"/>
        </w:pBdr>
        <w:spacing w:after="0"/>
      </w:pPr>
      <w:r>
        <w:rPr>
          <w:b/>
          <w:bCs/>
        </w:rPr>
        <w:t xml:space="preserve">A published workforce-housing target. </w:t>
      </w:r>
      <w:r>
        <w:t>Whistler: 75%. Jackson: 65%. NWCCOG: none.</w:t>
      </w:r>
    </w:p>
    <w:p w14:paraId="797A0AEA" w14:textId="77777777" w:rsidR="0003111B" w:rsidRDefault="00000000">
      <w:pPr>
        <w:numPr>
          <w:ilvl w:val="0"/>
          <w:numId w:val="1"/>
        </w:numPr>
        <w:pBdr>
          <w:top w:val="nil"/>
          <w:left w:val="nil"/>
          <w:bottom w:val="nil"/>
          <w:right w:val="nil"/>
          <w:between w:val="nil"/>
        </w:pBdr>
        <w:spacing w:after="0"/>
      </w:pPr>
      <w:r>
        <w:rPr>
          <w:b/>
          <w:bCs/>
        </w:rPr>
        <w:t xml:space="preserve">A standalone diversification plan. </w:t>
      </w:r>
      <w:r>
        <w:t>Queenstown has one with its own budget. NWCCOG embeds diversification inside the CEDS.</w:t>
      </w:r>
    </w:p>
    <w:p w14:paraId="797A0AEB" w14:textId="77777777" w:rsidR="0003111B" w:rsidRDefault="00000000">
      <w:pPr>
        <w:numPr>
          <w:ilvl w:val="0"/>
          <w:numId w:val="1"/>
        </w:numPr>
        <w:pBdr>
          <w:top w:val="nil"/>
          <w:left w:val="nil"/>
          <w:bottom w:val="nil"/>
          <w:right w:val="nil"/>
          <w:between w:val="nil"/>
        </w:pBdr>
        <w:spacing w:after="0"/>
      </w:pPr>
      <w:r>
        <w:rPr>
          <w:b/>
          <w:bCs/>
        </w:rPr>
        <w:t xml:space="preserve">A formal remote-worker recruitment strategy. </w:t>
      </w:r>
      <w:r>
        <w:t>Sun Valley and Mono County actively recruit. NWCCOG treats remote workers primarily as a housing pressure.</w:t>
      </w:r>
    </w:p>
    <w:p w14:paraId="797A0AEC" w14:textId="77777777" w:rsidR="0003111B" w:rsidRDefault="00000000">
      <w:pPr>
        <w:numPr>
          <w:ilvl w:val="0"/>
          <w:numId w:val="1"/>
        </w:numPr>
        <w:pBdr>
          <w:top w:val="nil"/>
          <w:left w:val="nil"/>
          <w:bottom w:val="nil"/>
          <w:right w:val="nil"/>
          <w:between w:val="nil"/>
        </w:pBdr>
        <w:spacing w:after="0"/>
      </w:pPr>
      <w:r>
        <w:rPr>
          <w:b/>
          <w:bCs/>
        </w:rPr>
        <w:t xml:space="preserve">Resort-tax bond financing for housing. </w:t>
      </w:r>
      <w:r>
        <w:t>Big Sky’s $60M Cold Smoke bond is replicable wherever a resort-tax authority exists.</w:t>
      </w:r>
    </w:p>
    <w:p w14:paraId="797A0AED" w14:textId="77777777" w:rsidR="0003111B" w:rsidRDefault="00000000">
      <w:pPr>
        <w:numPr>
          <w:ilvl w:val="0"/>
          <w:numId w:val="1"/>
        </w:numPr>
        <w:pBdr>
          <w:top w:val="nil"/>
          <w:left w:val="nil"/>
          <w:bottom w:val="nil"/>
          <w:right w:val="nil"/>
          <w:between w:val="nil"/>
        </w:pBdr>
        <w:spacing w:after="0"/>
      </w:pPr>
      <w:r>
        <w:rPr>
          <w:b/>
          <w:bCs/>
        </w:rPr>
        <w:t xml:space="preserve">STR-to-workforce conversion incentives. </w:t>
      </w:r>
      <w:r>
        <w:t>Mammoth’s Lease to Locals has no Colorado equivalent at scale.</w:t>
      </w:r>
    </w:p>
    <w:p w14:paraId="797A0AEE" w14:textId="77777777" w:rsidR="0003111B" w:rsidRDefault="00000000">
      <w:pPr>
        <w:numPr>
          <w:ilvl w:val="0"/>
          <w:numId w:val="1"/>
        </w:numPr>
        <w:pBdr>
          <w:top w:val="nil"/>
          <w:left w:val="nil"/>
          <w:bottom w:val="nil"/>
          <w:right w:val="nil"/>
          <w:between w:val="nil"/>
        </w:pBdr>
        <w:spacing w:after="0"/>
      </w:pPr>
      <w:r>
        <w:rPr>
          <w:b/>
          <w:bCs/>
        </w:rPr>
        <w:t xml:space="preserve">Carrying-capacity modeling for tourism. </w:t>
      </w:r>
      <w:r>
        <w:t>Whistler’s Balance Model quantifies community limits. NWCCOG has no equivalent.</w:t>
      </w:r>
    </w:p>
    <w:p w14:paraId="797A0AEF" w14:textId="77777777" w:rsidR="0003111B" w:rsidRDefault="00000000">
      <w:pPr>
        <w:numPr>
          <w:ilvl w:val="0"/>
          <w:numId w:val="1"/>
        </w:numPr>
        <w:pBdr>
          <w:top w:val="nil"/>
          <w:left w:val="nil"/>
          <w:bottom w:val="nil"/>
          <w:right w:val="nil"/>
          <w:between w:val="nil"/>
        </w:pBdr>
        <w:spacing w:after="0"/>
      </w:pPr>
      <w:r>
        <w:rPr>
          <w:b/>
          <w:bCs/>
        </w:rPr>
        <w:lastRenderedPageBreak/>
        <w:t xml:space="preserve">An integrated climate-economic plan. </w:t>
      </w:r>
      <w:r>
        <w:t>Whistler’s Big Moves, Queenstown’s Carbon Zero 2030, Vermont’s workforce retraining. NWCCOG addresses climate via wildfire/water, not as economic strategy.</w:t>
      </w:r>
    </w:p>
    <w:p w14:paraId="797A0AF0" w14:textId="77777777" w:rsidR="0003111B" w:rsidRDefault="00000000">
      <w:pPr>
        <w:numPr>
          <w:ilvl w:val="0"/>
          <w:numId w:val="1"/>
        </w:numPr>
        <w:pBdr>
          <w:top w:val="nil"/>
          <w:left w:val="nil"/>
          <w:bottom w:val="nil"/>
          <w:right w:val="nil"/>
          <w:between w:val="nil"/>
        </w:pBdr>
      </w:pPr>
      <w:r>
        <w:rPr>
          <w:b/>
          <w:bCs/>
        </w:rPr>
        <w:t xml:space="preserve">A permanent multi-jurisdictional economic body. </w:t>
      </w:r>
      <w:r>
        <w:t>Stronger than a CEDS committee — ongoing mandate, joint working groups, shared data.</w:t>
      </w:r>
    </w:p>
    <w:p w14:paraId="797A0AF1" w14:textId="77777777" w:rsidR="0003111B" w:rsidRDefault="00000000">
      <w:r>
        <w:br w:type="page"/>
      </w:r>
    </w:p>
    <w:p w14:paraId="797A0AF2" w14:textId="77777777" w:rsidR="0003111B" w:rsidRDefault="00000000">
      <w:pPr>
        <w:pStyle w:val="Heading1"/>
      </w:pPr>
      <w:r>
        <w:lastRenderedPageBreak/>
        <w:t>What Happens Next</w:t>
      </w:r>
    </w:p>
    <w:p w14:paraId="797A0AF3" w14:textId="77777777" w:rsidR="0003111B" w:rsidRDefault="00000000">
      <w:r>
        <w:t>This document is the beginning, not the end. The approved CEDS must be submitted to the EDA by September 30, 2026.</w:t>
      </w:r>
    </w:p>
    <w:p w14:paraId="797A0AF4" w14:textId="77777777" w:rsidR="0003111B" w:rsidRDefault="00000000">
      <w:pPr>
        <w:numPr>
          <w:ilvl w:val="0"/>
          <w:numId w:val="1"/>
        </w:numPr>
        <w:pBdr>
          <w:top w:val="nil"/>
          <w:left w:val="nil"/>
          <w:bottom w:val="nil"/>
          <w:right w:val="nil"/>
          <w:between w:val="nil"/>
        </w:pBdr>
        <w:spacing w:after="0"/>
      </w:pPr>
      <w:r>
        <w:rPr>
          <w:b/>
          <w:bCs/>
        </w:rPr>
        <w:t>Comment period (May–June 2026):</w:t>
      </w:r>
      <w:r>
        <w:t xml:space="preserve"> All summit attendees and regional stakeholders review and comment on this draft.</w:t>
      </w:r>
    </w:p>
    <w:p w14:paraId="797A0AF5" w14:textId="77777777" w:rsidR="0003111B" w:rsidRDefault="00000000">
      <w:pPr>
        <w:numPr>
          <w:ilvl w:val="0"/>
          <w:numId w:val="1"/>
        </w:numPr>
        <w:pBdr>
          <w:top w:val="nil"/>
          <w:left w:val="nil"/>
          <w:bottom w:val="nil"/>
          <w:right w:val="nil"/>
          <w:between w:val="nil"/>
        </w:pBdr>
        <w:spacing w:after="0"/>
      </w:pPr>
      <w:r>
        <w:rPr>
          <w:b/>
          <w:bCs/>
        </w:rPr>
        <w:t>Owner identification:</w:t>
      </w:r>
      <w:r>
        <w:t xml:space="preserve"> Strategies need named champions from towns, counties, institutions, and the private sector.</w:t>
      </w:r>
    </w:p>
    <w:p w14:paraId="797A0AF6" w14:textId="77777777" w:rsidR="0003111B" w:rsidRDefault="00000000">
      <w:pPr>
        <w:numPr>
          <w:ilvl w:val="0"/>
          <w:numId w:val="1"/>
        </w:numPr>
        <w:pBdr>
          <w:top w:val="nil"/>
          <w:left w:val="nil"/>
          <w:bottom w:val="nil"/>
          <w:right w:val="nil"/>
          <w:between w:val="nil"/>
        </w:pBdr>
        <w:spacing w:after="0"/>
      </w:pPr>
      <w:r>
        <w:rPr>
          <w:b/>
          <w:bCs/>
        </w:rPr>
        <w:t>Data validation:</w:t>
      </w:r>
      <w:r>
        <w:t xml:space="preserve"> Economic data updated with 2025–2026 figures.</w:t>
      </w:r>
    </w:p>
    <w:p w14:paraId="797A0AF7" w14:textId="77777777" w:rsidR="0003111B" w:rsidRDefault="00000000">
      <w:pPr>
        <w:numPr>
          <w:ilvl w:val="0"/>
          <w:numId w:val="1"/>
        </w:numPr>
        <w:pBdr>
          <w:top w:val="nil"/>
          <w:left w:val="nil"/>
          <w:bottom w:val="nil"/>
          <w:right w:val="nil"/>
          <w:between w:val="nil"/>
        </w:pBdr>
        <w:spacing w:after="0"/>
      </w:pPr>
      <w:r>
        <w:rPr>
          <w:b/>
          <w:bCs/>
        </w:rPr>
        <w:t>County-level review:</w:t>
      </w:r>
      <w:r>
        <w:t xml:space="preserve"> Each county commission reviews for alignment with local priorities.</w:t>
      </w:r>
    </w:p>
    <w:p w14:paraId="797A0AF8" w14:textId="77777777" w:rsidR="0003111B" w:rsidRDefault="00000000">
      <w:pPr>
        <w:numPr>
          <w:ilvl w:val="0"/>
          <w:numId w:val="1"/>
        </w:numPr>
        <w:pBdr>
          <w:top w:val="nil"/>
          <w:left w:val="nil"/>
          <w:bottom w:val="nil"/>
          <w:right w:val="nil"/>
          <w:between w:val="nil"/>
        </w:pBdr>
        <w:spacing w:after="0"/>
      </w:pPr>
      <w:r>
        <w:rPr>
          <w:b/>
          <w:bCs/>
        </w:rPr>
        <w:t>Final CEDS drafting:</w:t>
      </w:r>
      <w:r>
        <w:t xml:space="preserve"> NWCCOG staff integrates comments, data, and commitments into the formal document.</w:t>
      </w:r>
    </w:p>
    <w:p w14:paraId="797A0AF9" w14:textId="77777777" w:rsidR="0003111B" w:rsidRDefault="00000000">
      <w:pPr>
        <w:numPr>
          <w:ilvl w:val="0"/>
          <w:numId w:val="1"/>
        </w:numPr>
        <w:pBdr>
          <w:top w:val="nil"/>
          <w:left w:val="nil"/>
          <w:bottom w:val="nil"/>
          <w:right w:val="nil"/>
          <w:between w:val="nil"/>
        </w:pBdr>
      </w:pPr>
      <w:r>
        <w:rPr>
          <w:b/>
          <w:bCs/>
        </w:rPr>
        <w:t>EDA submission:</w:t>
      </w:r>
      <w:r>
        <w:t xml:space="preserve"> Approved CEDS submitted by September 30, 2026.</w:t>
      </w:r>
    </w:p>
    <w:p w14:paraId="797A0AFA" w14:textId="77777777" w:rsidR="0003111B" w:rsidRDefault="0003111B"/>
    <w:p w14:paraId="797A0AFB" w14:textId="77777777" w:rsidR="0003111B" w:rsidRDefault="00000000">
      <w:r>
        <w:rPr>
          <w:b/>
          <w:bCs/>
          <w:color w:val="E5751F"/>
        </w:rPr>
        <w:t xml:space="preserve">Remember: </w:t>
      </w:r>
      <w:r>
        <w:t>The CEDS unlocks EDA, USDA, and SBA funding. Projects need to hang off priorities identified here. A strategy without an owner is a missed grant opportunity. Claim your piece.</w:t>
      </w:r>
    </w:p>
    <w:sectPr w:rsidR="0003111B">
      <w:pgSz w:w="12240" w:h="15840"/>
      <w:pgMar w:top="1134" w:right="1417" w:bottom="1134" w:left="1417"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ris Mattera" w:date="2026-05-07T19:19:00Z" w:initials="">
    <w:p w14:paraId="797A0AFE"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Eagle county has this program already! https://www.housingeaglecounty.com/boldhousingmoves</w:t>
      </w:r>
    </w:p>
    <w:p w14:paraId="797A0AFF" w14:textId="77777777" w:rsidR="0003111B" w:rsidRDefault="0003111B">
      <w:pPr>
        <w:widowControl w:val="0"/>
        <w:pBdr>
          <w:top w:val="nil"/>
          <w:left w:val="nil"/>
          <w:bottom w:val="nil"/>
          <w:right w:val="nil"/>
          <w:between w:val="nil"/>
        </w:pBdr>
        <w:spacing w:after="0" w:line="240" w:lineRule="auto"/>
        <w:rPr>
          <w:rFonts w:ascii="Arial" w:eastAsia="Arial" w:hAnsi="Arial" w:cs="Arial"/>
          <w:color w:val="000000"/>
        </w:rPr>
      </w:pPr>
    </w:p>
    <w:p w14:paraId="797A0B00" w14:textId="77777777" w:rsidR="0003111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Also RFV: https://www.wmrhousing.org/gooddeeds</w:t>
      </w:r>
    </w:p>
  </w:comment>
  <w:comment w:id="1" w:author="Kris Mattera" w:date="2026-05-07T19:20:00Z" w:initials="">
    <w:p w14:paraId="797A0B01"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Region-wide plan: https://drive.google.com/file/d/1d582vv6zpLh1GyOZizzEAMhc4x2Z1bty/view</w:t>
      </w:r>
    </w:p>
  </w:comment>
  <w:comment w:id="2" w:author="Kris Mattera" w:date="2026-05-07T19:58:00Z" w:initials="">
    <w:p w14:paraId="797A0B02"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It is the whole ladder. In the RVF 300% AMI cannot buy a home.</w:t>
      </w:r>
    </w:p>
  </w:comment>
  <w:comment w:id="3" w:author="Kris Mattera" w:date="2026-05-07T19:27:00Z" w:initials="">
    <w:p w14:paraId="797A0B03"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Many of these exist, but it depends on the area, and is typically larger employers (which are limited).</w:t>
      </w:r>
    </w:p>
  </w:comment>
  <w:comment w:id="4" w:author="Kris Mattera" w:date="2026-05-07T19:26:00Z" w:initials="">
    <w:p w14:paraId="797A0B04"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This exists in some areas already.</w:t>
      </w:r>
    </w:p>
  </w:comment>
  <w:comment w:id="5" w:author="Kris Mattera" w:date="2026-05-07T20:00:00Z" w:initials="">
    <w:p w14:paraId="797A0B05"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What about micro engagements? Hard to serve if you are working 2+ jobs.</w:t>
      </w:r>
    </w:p>
  </w:comment>
  <w:comment w:id="6" w:author="Kris Mattera" w:date="2026-05-07T19:29:00Z" w:initials="">
    <w:p w14:paraId="797A0B06"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Also L3: https://members.vailvalleypartnership.com/vailvalleyeventcalendar/Details/leveraging-local-leaders-l3-2026-cohort-informational-event-1485093?sourceTypeId=Hub</w:t>
      </w:r>
    </w:p>
  </w:comment>
  <w:comment w:id="7" w:author="Kris Mattera" w:date="2026-05-07T19:32:00Z" w:initials="">
    <w:p w14:paraId="797A0B07"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Identified as a priority in the Opportunity Now Regional Talent Summits (Northwest Region).</w:t>
      </w:r>
    </w:p>
    <w:p w14:paraId="797A0B08" w14:textId="77777777" w:rsidR="0003111B" w:rsidRDefault="0003111B">
      <w:pPr>
        <w:widowControl w:val="0"/>
        <w:pBdr>
          <w:top w:val="nil"/>
          <w:left w:val="nil"/>
          <w:bottom w:val="nil"/>
          <w:right w:val="nil"/>
          <w:between w:val="nil"/>
        </w:pBdr>
        <w:spacing w:after="0" w:line="240" w:lineRule="auto"/>
        <w:rPr>
          <w:rFonts w:ascii="Arial" w:eastAsia="Arial" w:hAnsi="Arial" w:cs="Arial"/>
          <w:color w:val="000000"/>
        </w:rPr>
      </w:pPr>
    </w:p>
    <w:p w14:paraId="797A0B09" w14:textId="77777777" w:rsidR="0003111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Reports - </w:t>
      </w:r>
    </w:p>
    <w:p w14:paraId="797A0B0A" w14:textId="77777777" w:rsidR="0003111B" w:rsidRDefault="0003111B">
      <w:pPr>
        <w:widowControl w:val="0"/>
        <w:pBdr>
          <w:top w:val="nil"/>
          <w:left w:val="nil"/>
          <w:bottom w:val="nil"/>
          <w:right w:val="nil"/>
          <w:between w:val="nil"/>
        </w:pBdr>
        <w:spacing w:after="0" w:line="240" w:lineRule="auto"/>
        <w:rPr>
          <w:rFonts w:ascii="Arial" w:eastAsia="Arial" w:hAnsi="Arial" w:cs="Arial"/>
          <w:color w:val="000000"/>
        </w:rPr>
      </w:pPr>
    </w:p>
    <w:p w14:paraId="797A0B0B" w14:textId="77777777" w:rsidR="0003111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https://drive.google.com/file/d/1_u3DJ32P9LPmqrZ5GG0SY-LmVxNUfhbA/view</w:t>
      </w:r>
    </w:p>
    <w:p w14:paraId="797A0B0C" w14:textId="77777777" w:rsidR="0003111B" w:rsidRDefault="0003111B">
      <w:pPr>
        <w:widowControl w:val="0"/>
        <w:pBdr>
          <w:top w:val="nil"/>
          <w:left w:val="nil"/>
          <w:bottom w:val="nil"/>
          <w:right w:val="nil"/>
          <w:between w:val="nil"/>
        </w:pBdr>
        <w:spacing w:after="0" w:line="240" w:lineRule="auto"/>
        <w:rPr>
          <w:rFonts w:ascii="Arial" w:eastAsia="Arial" w:hAnsi="Arial" w:cs="Arial"/>
          <w:color w:val="000000"/>
        </w:rPr>
      </w:pPr>
    </w:p>
    <w:p w14:paraId="797A0B0D" w14:textId="77777777" w:rsidR="0003111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https://docs.google.com/document/d/1DH55PbG8JONKxhIRde4IlG6U89bfHyuA0kPhuKQstCI/edit?tab=t.0#heading=h.tyjcwt</w:t>
      </w:r>
    </w:p>
    <w:p w14:paraId="797A0B0E" w14:textId="77777777" w:rsidR="0003111B" w:rsidRDefault="0003111B">
      <w:pPr>
        <w:widowControl w:val="0"/>
        <w:pBdr>
          <w:top w:val="nil"/>
          <w:left w:val="nil"/>
          <w:bottom w:val="nil"/>
          <w:right w:val="nil"/>
          <w:between w:val="nil"/>
        </w:pBdr>
        <w:spacing w:after="0" w:line="240" w:lineRule="auto"/>
        <w:rPr>
          <w:rFonts w:ascii="Arial" w:eastAsia="Arial" w:hAnsi="Arial" w:cs="Arial"/>
          <w:color w:val="000000"/>
        </w:rPr>
      </w:pPr>
    </w:p>
    <w:p w14:paraId="797A0B0F" w14:textId="77777777" w:rsidR="0003111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https://docs.google.com/document/d/e/2PACX-1vRcEu_lAJmA_acWOxKvf_cEPZvTUQf_TvQMRmPCMdO9N2YsgA4v63sXyk3vc7EVFfoaKRLTrajQUlyc/pub</w:t>
      </w:r>
    </w:p>
  </w:comment>
  <w:comment w:id="8" w:author="Kris Mattera" w:date="2026-05-07T19:34:00Z" w:initials="">
    <w:p w14:paraId="797A0B10"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In progress at state and regional level: https://drive.google.com/file/d/1d582vv6zpLh1GyOZizzEAMhc4x2Z1bty/view</w:t>
      </w:r>
    </w:p>
  </w:comment>
  <w:comment w:id="9" w:author="Kris Mattera" w:date="2026-05-07T19:35:00Z" w:initials="">
    <w:p w14:paraId="797A0B11" w14:textId="77777777" w:rsidR="0003111B" w:rsidRDefault="007875D5">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In progress due to forthcoming ASE closure in 2027.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7A0B00" w15:done="0"/>
  <w15:commentEx w15:paraId="797A0B01" w15:done="0"/>
  <w15:commentEx w15:paraId="797A0B02" w15:done="0"/>
  <w15:commentEx w15:paraId="797A0B03" w15:done="0"/>
  <w15:commentEx w15:paraId="797A0B04" w15:done="0"/>
  <w15:commentEx w15:paraId="797A0B05" w15:done="0"/>
  <w15:commentEx w15:paraId="797A0B06" w15:done="0"/>
  <w15:commentEx w15:paraId="797A0B0F" w15:done="0"/>
  <w15:commentEx w15:paraId="797A0B10" w15:done="0"/>
  <w15:commentEx w15:paraId="797A0B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7A0B00" w16cid:durableId="797A0B11"/>
  <w16cid:commentId w16cid:paraId="797A0B01" w16cid:durableId="797A0B00"/>
  <w16cid:commentId w16cid:paraId="797A0B02" w16cid:durableId="797A0AFF"/>
  <w16cid:commentId w16cid:paraId="797A0B03" w16cid:durableId="797A0B0C"/>
  <w16cid:commentId w16cid:paraId="797A0B04" w16cid:durableId="797A0B0B"/>
  <w16cid:commentId w16cid:paraId="797A0B05" w16cid:durableId="797A0B0E"/>
  <w16cid:commentId w16cid:paraId="797A0B06" w16cid:durableId="797A0B0D"/>
  <w16cid:commentId w16cid:paraId="797A0B0F" w16cid:durableId="797A0B0A"/>
  <w16cid:commentId w16cid:paraId="797A0B10" w16cid:durableId="797A0AFE"/>
  <w16cid:commentId w16cid:paraId="797A0B11" w16cid:durableId="797A0B0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9B26C6-E63E-4A86-8E81-1B55EBBFC5B6}"/>
  </w:font>
  <w:font w:name="Calibri">
    <w:panose1 w:val="020F0502020204030204"/>
    <w:charset w:val="00"/>
    <w:family w:val="swiss"/>
    <w:pitch w:val="variable"/>
    <w:sig w:usb0="E4002EFF" w:usb1="C200247B" w:usb2="00000009" w:usb3="00000000" w:csb0="000001FF" w:csb1="00000000"/>
    <w:embedRegular r:id="rId2" w:fontKey="{91DE69EF-DF13-47DB-B5FA-C3E55C6E1459}"/>
    <w:embedBold r:id="rId3" w:fontKey="{D47C14CF-AC3C-46D6-9BC7-8B554D696C04}"/>
    <w:embedItalic r:id="rId4" w:fontKey="{E14665EB-80B1-417E-B3AC-43CE27863FF6}"/>
    <w:embedBoldItalic r:id="rId5" w:fontKey="{3E80C9D3-4932-47AB-B080-3D5E278E1DF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EAD6819-BD3F-493D-885B-FFCE69905B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B25C07"/>
    <w:multiLevelType w:val="multilevel"/>
    <w:tmpl w:val="F51245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41714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11B"/>
    <w:rsid w:val="0003111B"/>
    <w:rsid w:val="007875D5"/>
    <w:rsid w:val="00E35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08E1"/>
  <w15:docId w15:val="{3CF2959D-215E-45EB-8D05-4A570E18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4444"/>
        <w:sz w:val="22"/>
        <w:szCs w:val="22"/>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b/>
      <w:bCs/>
      <w:color w:val="316472"/>
      <w:sz w:val="48"/>
      <w:szCs w:val="48"/>
    </w:rPr>
  </w:style>
  <w:style w:type="paragraph" w:styleId="Heading2">
    <w:name w:val="heading 2"/>
    <w:basedOn w:val="Normal"/>
    <w:next w:val="Normal"/>
    <w:uiPriority w:val="9"/>
    <w:unhideWhenUsed/>
    <w:qFormat/>
    <w:pPr>
      <w:keepNext/>
      <w:keepLines/>
      <w:spacing w:before="240"/>
      <w:outlineLvl w:val="1"/>
    </w:pPr>
    <w:rPr>
      <w:b/>
      <w:bCs/>
      <w:color w:val="1A2E44"/>
      <w:sz w:val="36"/>
      <w:szCs w:val="36"/>
    </w:rPr>
  </w:style>
  <w:style w:type="paragraph" w:styleId="Heading3">
    <w:name w:val="heading 3"/>
    <w:basedOn w:val="Normal"/>
    <w:next w:val="Normal"/>
    <w:uiPriority w:val="9"/>
    <w:unhideWhenUsed/>
    <w:qFormat/>
    <w:pPr>
      <w:keepNext/>
      <w:keepLines/>
      <w:spacing w:before="240"/>
      <w:outlineLvl w:val="2"/>
    </w:pPr>
    <w:rPr>
      <w:b/>
      <w:bCs/>
      <w:color w:val="393939"/>
      <w:sz w:val="28"/>
      <w:szCs w:val="28"/>
    </w:rPr>
  </w:style>
  <w:style w:type="paragraph" w:styleId="Heading4">
    <w:name w:val="heading 4"/>
    <w:basedOn w:val="Normal"/>
    <w:next w:val="Normal"/>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4697</Words>
  <Characters>29876</Characters>
  <Application>Microsoft Office Word</Application>
  <DocSecurity>0</DocSecurity>
  <Lines>829</Lines>
  <Paragraphs>467</Paragraphs>
  <ScaleCrop>false</ScaleCrop>
  <Company/>
  <LinksUpToDate>false</LinksUpToDate>
  <CharactersWithSpaces>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Trent Hillier</cp:lastModifiedBy>
  <cp:revision>2</cp:revision>
  <dcterms:created xsi:type="dcterms:W3CDTF">2026-05-11T21:34:00Z</dcterms:created>
  <dcterms:modified xsi:type="dcterms:W3CDTF">2026-05-11T21:34:00Z</dcterms:modified>
</cp:coreProperties>
</file>