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color w:val="1F4E79"/>
          <w:sz w:val="36"/>
          <w:szCs w:val="36"/>
        </w:rPr>
        <w:t xml:space="preserve">NWCCOG Economic Development Summit</w:t>
      </w:r>
    </w:p>
    <w:p>
      <w:pPr>
        <w:spacing w:after="60"/>
        <w:jc w:val="center"/>
      </w:pPr>
      <w:r>
        <w:rPr>
          <w:rFonts w:ascii="Arial" w:cs="Arial" w:eastAsia="Arial" w:hAnsi="Arial"/>
          <w:b/>
          <w:bCs/>
          <w:color w:val="2E75B6"/>
          <w:sz w:val="30"/>
          <w:szCs w:val="30"/>
        </w:rPr>
        <w:t xml:space="preserve">Meeting Summary</w:t>
      </w:r>
    </w:p>
    <w:p>
      <w:pPr>
        <w:spacing w:after="200"/>
        <w:jc w:val="center"/>
      </w:pPr>
      <w:r>
        <w:rPr>
          <w:rFonts w:ascii="Arial" w:cs="Arial" w:eastAsia="Arial" w:hAnsi="Arial"/>
          <w:color w:val="666666"/>
          <w:sz w:val="22"/>
          <w:szCs w:val="22"/>
        </w:rPr>
        <w:t xml:space="preserve">May 7, 2026 | Silverthorne, Colorado | 8:30 AM – 3:30 PM</w:t>
      </w:r>
    </w:p>
    <w:p>
      <w:pPr>
        <w:spacing w:after="200"/>
        <w:jc w:val="center"/>
      </w:pPr>
      <w:r>
        <w:rPr>
          <w:rFonts w:ascii="Arial" w:cs="Arial" w:eastAsia="Arial" w:hAnsi="Arial"/>
          <w:i/>
          <w:iCs/>
          <w:color w:val="666666"/>
          <w:sz w:val="20"/>
          <w:szCs w:val="20"/>
        </w:rPr>
        <w:t xml:space="preserve">Approximately 60+ regional stakeholders from the five-county NWCCOG Economic Development District</w:t>
      </w:r>
    </w:p>
    <w:p>
      <w:pPr>
        <w:pStyle w:val="Heading1"/>
        <w:spacing w:after="200" w:before="360"/>
      </w:pPr>
      <w:r>
        <w:rPr>
          <w:rFonts w:ascii="Arial" w:cs="Arial" w:eastAsia="Arial" w:hAnsi="Arial"/>
          <w:b/>
          <w:bCs/>
          <w:color w:val="1F4E79"/>
          <w:sz w:val="30"/>
          <w:szCs w:val="30"/>
        </w:rPr>
        <w:t xml:space="preserve">Purpose</w:t>
      </w:r>
    </w:p>
    <w:p>
      <w:pPr>
        <w:spacing w:after="160"/>
      </w:pPr>
      <w:r>
        <w:rPr>
          <w:rFonts w:ascii="Arial" w:cs="Arial" w:eastAsia="Arial" w:hAnsi="Arial"/>
          <w:sz w:val="22"/>
          <w:szCs w:val="22"/>
        </w:rPr>
        <w:t xml:space="preserve">The summit convened stakeholders from across the NWCCOG five-county region (Eagle, Grand, Jackson, Pitkin, and Summit counties) to launch the renewal of the region’s Comprehensive Economic Development Strategy (CEDS). The current CEDS expires September 30, 2026. The day’s goal was to gather input from across the region to build the strategic framework for the 2026–2031 plan, which serves as the gateway document for federal EDA, USDA, and SBA funding.</w:t>
      </w:r>
    </w:p>
    <w:p>
      <w:pPr>
        <w:spacing w:after="160"/>
      </w:pPr>
      <w:r>
        <w:rPr>
          <w:rFonts w:ascii="Arial" w:cs="Arial" w:eastAsia="Arial" w:hAnsi="Arial"/>
          <w:sz w:val="22"/>
          <w:szCs w:val="22"/>
        </w:rPr>
        <w:t xml:space="preserve">The summit was structured in two halves: morning presentations providing data and context, and an afternoon interactive session combining a five-person expert panel with real-time audience participation via a shared Google document. AI tools were used throughout the day to transcribe, synthesize, and draft the working strategy live.</w:t>
      </w:r>
    </w:p>
    <w:p>
      <w:r>
        <w:br w:type="page"/>
      </w:r>
    </w:p>
    <w:p>
      <w:pPr>
        <w:pStyle w:val="Heading1"/>
        <w:spacing w:after="200" w:before="360"/>
      </w:pPr>
      <w:r>
        <w:rPr>
          <w:rFonts w:ascii="Arial" w:cs="Arial" w:eastAsia="Arial" w:hAnsi="Arial"/>
          <w:b/>
          <w:bCs/>
          <w:color w:val="1F4E79"/>
          <w:sz w:val="30"/>
          <w:szCs w:val="30"/>
        </w:rPr>
        <w:t xml:space="preserve">Morning Sessions (8:30 AM – 12:00 PM)</w:t>
      </w:r>
    </w:p>
    <w:p>
      <w:pPr>
        <w:pStyle w:val="Heading2"/>
        <w:spacing w:after="140" w:before="280"/>
      </w:pPr>
      <w:r>
        <w:rPr>
          <w:rFonts w:ascii="Arial" w:cs="Arial" w:eastAsia="Arial" w:hAnsi="Arial"/>
          <w:b/>
          <w:bCs/>
          <w:color w:val="2E75B6"/>
          <w:sz w:val="24"/>
          <w:szCs w:val="24"/>
        </w:rPr>
        <w:t xml:space="preserve">State Demographic Outlook</w:t>
      </w:r>
    </w:p>
    <w:p>
      <w:pPr>
        <w:spacing w:after="160"/>
      </w:pPr>
      <w:r>
        <w:rPr>
          <w:rFonts w:ascii="Arial" w:cs="Arial" w:eastAsia="Arial" w:hAnsi="Arial"/>
          <w:sz w:val="22"/>
          <w:szCs w:val="22"/>
        </w:rPr>
        <w:t xml:space="preserve">The morning opened with a presentation on Colorado’s demographic trajectory as it relates to the five-county region. The region’s total population is approximately 120,637 across 6,779 square miles. Growth patterns vary significantly: Summit County is projected to grow 12.4% by 2030, while Jackson County faces an 8.4% decline. The 25–44 age cohort—the demographic most critical for workforce, family formation, and civic leadership—is shrinking in most counties. Net migration, not natural increase, is the primary growth driver, meaning the region must actively attract and retain people rather than relying on organic population growth.</w:t>
      </w:r>
    </w:p>
    <w:p>
      <w:pPr>
        <w:spacing w:after="160"/>
      </w:pPr>
      <w:r>
        <w:rPr>
          <w:rFonts w:ascii="Arial" w:cs="Arial" w:eastAsia="Arial" w:hAnsi="Arial"/>
          <w:sz w:val="22"/>
          <w:szCs w:val="22"/>
        </w:rPr>
        <w:t xml:space="preserve">It was noted that the region’s Hispanic population (29.6% in Eagle County) is a significant and growing part of the community fabric, and that demographic projections should inform housing, workforce, and service planning.</w:t>
      </w:r>
    </w:p>
    <w:p>
      <w:pPr>
        <w:pStyle w:val="Heading2"/>
        <w:spacing w:after="140" w:before="280"/>
      </w:pPr>
      <w:r>
        <w:rPr>
          <w:rFonts w:ascii="Arial" w:cs="Arial" w:eastAsia="Arial" w:hAnsi="Arial"/>
          <w:b/>
          <w:bCs/>
          <w:color w:val="2E75B6"/>
          <w:sz w:val="24"/>
          <w:szCs w:val="24"/>
        </w:rPr>
        <w:t xml:space="preserve">Regional Statistical Analysis</w:t>
      </w:r>
    </w:p>
    <w:p>
      <w:pPr>
        <w:spacing w:after="160"/>
      </w:pPr>
      <w:r>
        <w:rPr>
          <w:rFonts w:ascii="Arial" w:cs="Arial" w:eastAsia="Arial" w:hAnsi="Arial"/>
          <w:sz w:val="22"/>
          <w:szCs w:val="22"/>
        </w:rPr>
        <w:t xml:space="preserve">A statistical overview of the five-county economy followed. Tourism dominates employment, accounting for 45–51% of jobs in most counties, with Jackson County as the notable exception at 26%. Average annual wages range from $47,060 in Grand County to $59,852 in Eagle County—well below what is needed to afford housing in most of the region. Unemployment sits at roughly 2%, which means the region has more jobs than people to fill them. The binding constraint on economic development is not job creation but workforce availability, which is in turn constrained by housing.</w:t>
      </w:r>
    </w:p>
    <w:p>
      <w:pPr>
        <w:spacing w:after="160"/>
      </w:pPr>
      <w:r>
        <w:rPr>
          <w:rFonts w:ascii="Arial" w:cs="Arial" w:eastAsia="Arial" w:hAnsi="Arial"/>
          <w:sz w:val="22"/>
          <w:szCs w:val="22"/>
        </w:rPr>
        <w:t xml:space="preserve">It was emphasized that strategy without execution is insufficient. The region has historically been good at creating strategic plans but has struggled to implement them. The call was for the new CEDS to focus on action and accountability, not just aspirational goals. The importance of distinguishing between primary jobs (economic base) and service jobs (local-serving) was discussed, along with the observation that resort community wealth statistics mask real struggles faced by working residents.</w:t>
      </w:r>
    </w:p>
    <w:p>
      <w:pPr>
        <w:pStyle w:val="Heading2"/>
        <w:spacing w:after="140" w:before="280"/>
      </w:pPr>
      <w:r>
        <w:rPr>
          <w:rFonts w:ascii="Arial" w:cs="Arial" w:eastAsia="Arial" w:hAnsi="Arial"/>
          <w:b/>
          <w:bCs/>
          <w:color w:val="2E75B6"/>
          <w:sz w:val="24"/>
          <w:szCs w:val="24"/>
        </w:rPr>
        <w:t xml:space="preserve">State Economic Development Resources</w:t>
      </w:r>
    </w:p>
    <w:p>
      <w:pPr>
        <w:spacing w:after="160"/>
      </w:pPr>
      <w:r>
        <w:rPr>
          <w:rFonts w:ascii="Arial" w:cs="Arial" w:eastAsia="Arial" w:hAnsi="Arial"/>
          <w:sz w:val="22"/>
          <w:szCs w:val="22"/>
        </w:rPr>
        <w:t xml:space="preserve">A presentation from the state’s Office of Economic Development and International Trade (OEDIT) outlined available grants, tax credits, and technical assistance programs. It was noted that rural and resort communities in this region often don’t appear “needy” in federal data because resort wealth inflates per-capita income figures, even though many residents face severe cost-of-living challenges. This disconnect between statistical prosperity and lived reality is a persistent barrier to accessing funding.</w:t>
      </w:r>
    </w:p>
    <w:p>
      <w:pPr>
        <w:pStyle w:val="Heading2"/>
        <w:spacing w:after="140" w:before="280"/>
      </w:pPr>
      <w:r>
        <w:rPr>
          <w:rFonts w:ascii="Arial" w:cs="Arial" w:eastAsia="Arial" w:hAnsi="Arial"/>
          <w:b/>
          <w:bCs/>
          <w:color w:val="2E75B6"/>
          <w:sz w:val="24"/>
          <w:szCs w:val="24"/>
        </w:rPr>
        <w:t xml:space="preserve">Youth Apprenticeship Model</w:t>
      </w:r>
    </w:p>
    <w:p>
      <w:pPr>
        <w:spacing w:after="160"/>
      </w:pPr>
      <w:r>
        <w:rPr>
          <w:rFonts w:ascii="Arial" w:cs="Arial" w:eastAsia="Arial" w:hAnsi="Arial"/>
          <w:sz w:val="22"/>
          <w:szCs w:val="22"/>
        </w:rPr>
        <w:t xml:space="preserve">A Swiss-model youth apprenticeship program was presented as an emerging tool for workforce development in the region. The program places high school students in professional career tracks—not just trades—with Eagle County serving as a regional hub. The model addresses both the workforce pipeline gap and young professional retention by giving students a reason to stay in the region after high school. It was described as one of the most promising workforce development innovations available to the region.</w:t>
      </w:r>
    </w:p>
    <w:p>
      <w:r>
        <w:br w:type="page"/>
      </w:r>
    </w:p>
    <w:p>
      <w:pPr>
        <w:pStyle w:val="Heading1"/>
        <w:spacing w:after="200" w:before="360"/>
      </w:pPr>
      <w:r>
        <w:rPr>
          <w:rFonts w:ascii="Arial" w:cs="Arial" w:eastAsia="Arial" w:hAnsi="Arial"/>
          <w:b/>
          <w:bCs/>
          <w:color w:val="1F4E79"/>
          <w:sz w:val="30"/>
          <w:szCs w:val="30"/>
        </w:rPr>
        <w:t xml:space="preserve">Afternoon Panel &amp; Discussion (1:00 PM – 3:30 PM)</w:t>
      </w:r>
    </w:p>
    <w:p>
      <w:pPr>
        <w:spacing w:after="160"/>
      </w:pPr>
      <w:r>
        <w:rPr>
          <w:rFonts w:ascii="Arial" w:cs="Arial" w:eastAsia="Arial" w:hAnsi="Arial"/>
          <w:sz w:val="22"/>
          <w:szCs w:val="22"/>
        </w:rPr>
        <w:t xml:space="preserve">The afternoon session opened with a presentation on how AI was being used to synthesize the day’s input in real time, followed by a 10-minute video summarizing international peer research on how 15+ global resort regions are addressing the same challenges facing northwest Colorado. A shared Google document containing a draft CEDS framework was distributed to the room, and audience members were invited to comment throughout the discussion.</w:t>
      </w:r>
    </w:p>
    <w:p>
      <w:pPr>
        <w:spacing w:after="160"/>
      </w:pPr>
      <w:r>
        <w:rPr>
          <w:rFonts w:ascii="Arial" w:cs="Arial" w:eastAsia="Arial" w:hAnsi="Arial"/>
          <w:sz w:val="22"/>
          <w:szCs w:val="22"/>
        </w:rPr>
        <w:t xml:space="preserve">A five-person expert panel then engaged in a structured conversation across the major themes of the CEDS, with audience participation throughout. The following summarizes what was discussed.</w:t>
      </w:r>
    </w:p>
    <w:p>
      <w:pPr>
        <w:pStyle w:val="Heading2"/>
        <w:spacing w:after="140" w:before="280"/>
      </w:pPr>
      <w:r>
        <w:rPr>
          <w:rFonts w:ascii="Arial" w:cs="Arial" w:eastAsia="Arial" w:hAnsi="Arial"/>
          <w:b/>
          <w:bCs/>
          <w:color w:val="2E75B6"/>
          <w:sz w:val="24"/>
          <w:szCs w:val="24"/>
        </w:rPr>
        <w:t xml:space="preserve">Housing: The Region’s Most Active Arena</w:t>
      </w:r>
    </w:p>
    <w:p>
      <w:pPr>
        <w:spacing w:after="160"/>
      </w:pPr>
      <w:r>
        <w:rPr>
          <w:rFonts w:ascii="Arial" w:cs="Arial" w:eastAsia="Arial" w:hAnsi="Arial"/>
          <w:sz w:val="22"/>
          <w:szCs w:val="22"/>
        </w:rPr>
        <w:t xml:space="preserve">Housing dominated the conversation more than any other topic, surfacing under every pillar and in nearly every panelist’s remarks. A key theme was that the region deserves more credit than the draft document gave it. Significant housing programs are already producing units at scale across the region.</w:t>
      </w:r>
    </w:p>
    <w:p>
      <w:pPr>
        <w:spacing w:after="160"/>
      </w:pPr>
      <w:r>
        <w:rPr>
          <w:rFonts w:ascii="Arial" w:cs="Arial" w:eastAsia="Arial" w:hAnsi="Arial"/>
          <w:sz w:val="22"/>
          <w:szCs w:val="22"/>
        </w:rPr>
        <w:t xml:space="preserve">In Vail, approximately 1,100 new residents are being added through recently built housing—a 23% population increase—spanning the full continuum from seasonal J-1 visa workers to ER doctors. The town described a “continuum of housing” approach: if a hospital can’t recruit an emergency room doctor because there’s nowhere for them to live at even $1.5 million, the community doesn’t get the healthcare it needs.</w:t>
      </w:r>
    </w:p>
    <w:p>
      <w:pPr>
        <w:spacing w:after="160"/>
      </w:pPr>
      <w:r>
        <w:rPr>
          <w:rFonts w:ascii="Arial" w:cs="Arial" w:eastAsia="Arial" w:hAnsi="Arial"/>
          <w:sz w:val="22"/>
          <w:szCs w:val="22"/>
        </w:rPr>
        <w:t xml:space="preserve">In Glenwood Springs, approximately $500,000 in lodging tax revenue was leveraged into 250 total housing units by partnering with developers rather than acting as the developer—coming to the table with resources and getting deed restrictions in return.</w:t>
      </w:r>
    </w:p>
    <w:p>
      <w:pPr>
        <w:spacing w:after="160"/>
      </w:pPr>
      <w:r>
        <w:rPr>
          <w:rFonts w:ascii="Arial" w:cs="Arial" w:eastAsia="Arial" w:hAnsi="Arial"/>
          <w:sz w:val="22"/>
          <w:szCs w:val="22"/>
        </w:rPr>
        <w:t xml:space="preserve">In Hayden, a municipal housing authority was established in 2021 and has since purchased an entire neighborhood from private owners. An additional 145 deed-restricted units are coming online serving households up to 160% of area median income. An inclusionary zoning policy requiring affordable housing dedication for any development over five units was adopted and is already producing results without significant developer resistance.</w:t>
      </w:r>
    </w:p>
    <w:p>
      <w:pPr>
        <w:spacing w:after="160"/>
      </w:pPr>
      <w:r>
        <w:rPr>
          <w:rFonts w:ascii="Arial" w:cs="Arial" w:eastAsia="Arial" w:hAnsi="Arial"/>
          <w:sz w:val="22"/>
          <w:szCs w:val="22"/>
        </w:rPr>
        <w:t xml:space="preserve">In Snowmass, any new development must now mitigate 100% of its housing impact—the most aggressive standard discussed. The community is at 96% build-out, meaning available land itself is the constraint.</w:t>
      </w:r>
    </w:p>
    <w:p>
      <w:pPr>
        <w:spacing w:after="160"/>
      </w:pPr>
      <w:r>
        <w:rPr>
          <w:rFonts w:ascii="Arial" w:cs="Arial" w:eastAsia="Arial" w:hAnsi="Arial"/>
          <w:sz w:val="22"/>
          <w:szCs w:val="22"/>
        </w:rPr>
        <w:t xml:space="preserve">In Silverthorne, the town council purchased a plot of land a decade ago that has since been developed into approximately 200 for-sale and 200 rental workforce housing units.</w:t>
      </w:r>
    </w:p>
    <w:p>
      <w:pPr>
        <w:spacing w:after="160"/>
      </w:pPr>
      <w:r>
        <w:rPr>
          <w:rFonts w:ascii="Arial" w:cs="Arial" w:eastAsia="Arial" w:hAnsi="Arial"/>
          <w:sz w:val="22"/>
          <w:szCs w:val="22"/>
        </w:rPr>
        <w:t xml:space="preserve">It was observed via comments on the shared document that existing programs like Eagle County’s Bold Housing Moves and the Roaring Fork Valley’s Good Deeds program are already operational and producing results. A critical data point was shared: in the Roaring Fork Valley, even households earning 300% of area median income cannot afford to purchase a home. The housing challenge extends far beyond low-income populations.</w:t>
      </w:r>
    </w:p>
    <w:p>
      <w:pPr>
        <w:spacing w:after="160"/>
      </w:pPr>
      <w:r>
        <w:rPr>
          <w:rFonts w:ascii="Arial" w:cs="Arial" w:eastAsia="Arial" w:hAnsi="Arial"/>
          <w:sz w:val="22"/>
          <w:szCs w:val="22"/>
        </w:rPr>
        <w:t xml:space="preserve">The concept of a “missing middle” in housing was raised repeatedly—not just entry-level workforce housing, but the family-sustaining housing that allows someone to raise children, build equity, and become a long-term community member. The “sweat equity” pathway that previous generations used to establish themselves in mountain communities was described as essentially gone.</w:t>
      </w:r>
    </w:p>
    <w:p>
      <w:pPr>
        <w:spacing w:after="160"/>
      </w:pPr>
      <w:r>
        <w:rPr>
          <w:rFonts w:ascii="Arial" w:cs="Arial" w:eastAsia="Arial" w:hAnsi="Arial"/>
          <w:sz w:val="22"/>
          <w:szCs w:val="22"/>
        </w:rPr>
        <w:t xml:space="preserve">Discussion of permanent deed restrictions generated strong opinions. The position was advanced that a deed restriction is permanent—it literally transforms the community one unit at a time. Even though it takes a long time at the individual level, at scale it represents a fundamental and irreversible shift in a community’s housing stock.</w:t>
      </w:r>
    </w:p>
    <w:p>
      <w:pPr>
        <w:pStyle w:val="Heading2"/>
        <w:spacing w:after="140" w:before="280"/>
      </w:pPr>
      <w:r>
        <w:rPr>
          <w:rFonts w:ascii="Arial" w:cs="Arial" w:eastAsia="Arial" w:hAnsi="Arial"/>
          <w:b/>
          <w:bCs/>
          <w:color w:val="2E75B6"/>
          <w:sz w:val="24"/>
          <w:szCs w:val="24"/>
        </w:rPr>
        <w:t xml:space="preserve">Revenue Tools and Outside Capital</w:t>
      </w:r>
    </w:p>
    <w:p>
      <w:pPr>
        <w:spacing w:after="160"/>
      </w:pPr>
      <w:r>
        <w:rPr>
          <w:rFonts w:ascii="Arial" w:cs="Arial" w:eastAsia="Arial" w:hAnsi="Arial"/>
          <w:sz w:val="22"/>
          <w:szCs w:val="22"/>
        </w:rPr>
        <w:t xml:space="preserve">The conversation turned to how communities fund their housing and infrastructure ambitions. It was noted that 12 Colorado communities currently have a real estate transfer tax (RETT). A statewide RETT at 1% could generate $750 million to $1.5 billion annually. Even limited to homes over $2 million, it could generate three-quarters of a billion dollars. An attempt was made in 2017 but failed due to opposition from the real estate lobby.</w:t>
      </w:r>
    </w:p>
    <w:p>
      <w:pPr>
        <w:spacing w:after="160"/>
      </w:pPr>
      <w:r>
        <w:rPr>
          <w:rFonts w:ascii="Arial" w:cs="Arial" w:eastAsia="Arial" w:hAnsi="Arial"/>
          <w:sz w:val="22"/>
          <w:szCs w:val="22"/>
        </w:rPr>
        <w:t xml:space="preserve">A problem was identified with existing RETT communities: many locked their tax revenues into specific purposes (such as an opera house or open space preservation) decades ago under TABOR. In landlocked valleys that are now well-protected, those open space funds could potentially be redirected to more urgent current needs through local voter action.</w:t>
      </w:r>
    </w:p>
    <w:p>
      <w:pPr>
        <w:spacing w:after="160"/>
      </w:pPr>
      <w:r>
        <w:rPr>
          <w:rFonts w:ascii="Arial" w:cs="Arial" w:eastAsia="Arial" w:hAnsi="Arial"/>
          <w:sz w:val="22"/>
          <w:szCs w:val="22"/>
        </w:rPr>
        <w:t xml:space="preserve">Vacancy taxes were discussed as another potential revenue tool. One community described it as a top-10 council priority from its recent strategic planning session. With vacancy rates of 48% in Eagle County, 70% in Vail, and 80% in Pitkin County, significant revenue potential exists. However, concern was raised about the impact on younger second homeowners who rely on short-term rental income to afford their properties—vacancy taxes would hit them harder than established older owners sitting on millions in equity.</w:t>
      </w:r>
    </w:p>
    <w:p>
      <w:pPr>
        <w:spacing w:after="160"/>
      </w:pPr>
      <w:r>
        <w:rPr>
          <w:rFonts w:ascii="Arial" w:cs="Arial" w:eastAsia="Arial" w:hAnsi="Arial"/>
          <w:sz w:val="22"/>
          <w:szCs w:val="22"/>
        </w:rPr>
        <w:t xml:space="preserve">The broader point was made that communities need outside capital. Municipal budgets in small mountain towns cannot support the scale of investment needed. The question is how to bring money from outside the community in without over-leveraging small-town balance sheets. A cautionary example was cited of a town with a $3 million budget contemplating $225 million in borrowing to purchase a ski area.</w:t>
      </w:r>
    </w:p>
    <w:p>
      <w:pPr>
        <w:pStyle w:val="Heading2"/>
        <w:spacing w:after="140" w:before="280"/>
      </w:pPr>
      <w:r>
        <w:rPr>
          <w:rFonts w:ascii="Arial" w:cs="Arial" w:eastAsia="Arial" w:hAnsi="Arial"/>
          <w:b/>
          <w:bCs/>
          <w:color w:val="2E75B6"/>
          <w:sz w:val="24"/>
          <w:szCs w:val="24"/>
        </w:rPr>
        <w:t xml:space="preserve">Second Home Economies</w:t>
      </w:r>
    </w:p>
    <w:p>
      <w:pPr>
        <w:spacing w:after="160"/>
      </w:pPr>
      <w:r>
        <w:rPr>
          <w:rFonts w:ascii="Arial" w:cs="Arial" w:eastAsia="Arial" w:hAnsi="Arial"/>
          <w:sz w:val="22"/>
          <w:szCs w:val="22"/>
        </w:rPr>
        <w:t xml:space="preserve">A significant portion of the discussion focused on the role of second homeowners in the regional economy. The assertion was made that second home economies probably eclipse tourism economies in Colorado when accounting for philanthropy, foundation giving, board service, and civic engagement. The traditional second homeowner—someone who bought in the 1990s and eventually moved full-time—has been the backbone of community philanthropy and volunteerism.</w:t>
      </w:r>
    </w:p>
    <w:p>
      <w:pPr>
        <w:spacing w:after="160"/>
      </w:pPr>
      <w:r>
        <w:rPr>
          <w:rFonts w:ascii="Arial" w:cs="Arial" w:eastAsia="Arial" w:hAnsi="Arial"/>
          <w:sz w:val="22"/>
          <w:szCs w:val="22"/>
        </w:rPr>
        <w:t xml:space="preserve">The risk was identified that this engaged generation of second homeowners is aging out. They are moving to be near grandchildren, leaving the cold, and not being replaced by an equally engaged cohort. The concern is that newer second home purchasers may not develop the same depth of community connection unless communities actively cultivate that relationship.</w:t>
      </w:r>
    </w:p>
    <w:p>
      <w:pPr>
        <w:spacing w:after="160"/>
      </w:pPr>
      <w:r>
        <w:rPr>
          <w:rFonts w:ascii="Arial" w:cs="Arial" w:eastAsia="Arial" w:hAnsi="Arial"/>
          <w:sz w:val="22"/>
          <w:szCs w:val="22"/>
        </w:rPr>
        <w:t xml:space="preserve">Strong sentiment was expressed against policies that alienate second homeowners. An example was shared of a community that discouraged second homeowners from visiting during the pandemic, creating scars that persist years later. The contrasting approach—celebrating second homeowners, including them in community life, making them feel like locals—was described as far more productive. The idea of allowing non-residents to vote in local elections was raised as a provocative concept for discussion.</w:t>
      </w:r>
    </w:p>
    <w:p>
      <w:pPr>
        <w:spacing w:after="160"/>
      </w:pPr>
      <w:r>
        <w:rPr>
          <w:rFonts w:ascii="Arial" w:cs="Arial" w:eastAsia="Arial" w:hAnsi="Arial"/>
          <w:sz w:val="22"/>
          <w:szCs w:val="22"/>
        </w:rPr>
        <w:t xml:space="preserve">The tension was acknowledged: second homeowners are both part of the housing problem (high vacancy rates, price escalation) and part of the solution (capital, philanthropy, community investment). Effective policy must navigate this duality rather than choosing one framing over the other.</w:t>
      </w:r>
    </w:p>
    <w:p>
      <w:pPr>
        <w:pStyle w:val="Heading2"/>
        <w:spacing w:after="140" w:before="280"/>
      </w:pPr>
      <w:r>
        <w:rPr>
          <w:rFonts w:ascii="Arial" w:cs="Arial" w:eastAsia="Arial" w:hAnsi="Arial"/>
          <w:b/>
          <w:bCs/>
          <w:color w:val="2E75B6"/>
          <w:sz w:val="24"/>
          <w:szCs w:val="24"/>
        </w:rPr>
        <w:t xml:space="preserve">The Worst Snow Year: A Stress Test</w:t>
      </w:r>
    </w:p>
    <w:p>
      <w:r>
        <w:br w:type="page"/>
      </w:r>
    </w:p>
    <w:p>
      <w:pPr>
        <w:spacing w:after="160"/>
      </w:pPr>
      <w:r>
        <w:rPr>
          <w:rFonts w:ascii="Arial" w:cs="Arial" w:eastAsia="Arial" w:hAnsi="Arial"/>
          <w:sz w:val="22"/>
          <w:szCs w:val="22"/>
        </w:rPr>
        <w:t xml:space="preserve">The 2025–26 winter—the worst in recent memory—was a central topic. Resort companies reported only a 15–20% decline in overall metrics, with live ticket revenue down just 4–5%. Season pass strategies have effectively immunized resort operators from bad snow years. The financial risk has shifted decisively from resort companies to mountain towns.</w:t>
      </w:r>
    </w:p>
    <w:p>
      <w:pPr>
        <w:spacing w:after="160"/>
      </w:pPr>
      <w:r>
        <w:rPr>
          <w:rFonts w:ascii="Arial" w:cs="Arial" w:eastAsia="Arial" w:hAnsi="Arial"/>
          <w:sz w:val="22"/>
          <w:szCs w:val="22"/>
        </w:rPr>
        <w:t xml:space="preserve">It was observed that 10 years ago, resort operators would have been “limping away” from a winter like this. They are not now. The implication is clear: towns can no longer look to resort companies for economic rescue during bad years. Towns must own their own economic resilience.</w:t>
      </w:r>
    </w:p>
    <w:p>
      <w:pPr>
        <w:spacing w:after="160"/>
      </w:pPr>
      <w:r>
        <w:rPr>
          <w:rFonts w:ascii="Arial" w:cs="Arial" w:eastAsia="Arial" w:hAnsi="Arial"/>
          <w:sz w:val="22"/>
          <w:szCs w:val="22"/>
        </w:rPr>
        <w:t xml:space="preserve">An encouraging finding was shared: once the community accepted the reality of the poor snow year and adjusted expectations (around Presidents’ Week), guest satisfaction actually improved. Net promoter scores on the mountain went up 10 points compared to the prior year at the same time. The community rallied around the message that the experience was different but still great. This suggests that honest messaging and community buy-in around a “new normal” can be more effective than pretending conditions are fine.</w:t>
      </w:r>
    </w:p>
    <w:p>
      <w:pPr>
        <w:spacing w:after="160"/>
      </w:pPr>
      <w:r>
        <w:rPr>
          <w:rFonts w:ascii="Arial" w:cs="Arial" w:eastAsia="Arial" w:hAnsi="Arial"/>
          <w:sz w:val="22"/>
          <w:szCs w:val="22"/>
        </w:rPr>
        <w:t xml:space="preserve">The observation was made that decreased visitor pressure after the pandemic peak represents a “breathing room”—a strategic window where communities can make structural changes without the acute pressure of overtourism. The suggestion was made that leaders who were recently calling for less tourism may now, after a down season, have recalibrated to recognize that tourism revenue remains essential even as the region works to reduce its dependence on it.</w:t>
      </w:r>
    </w:p>
    <w:p>
      <w:pPr>
        <w:spacing w:after="160"/>
      </w:pPr>
      <w:r>
        <w:rPr>
          <w:rFonts w:ascii="Arial" w:cs="Arial" w:eastAsia="Arial" w:hAnsi="Arial"/>
          <w:sz w:val="22"/>
          <w:szCs w:val="22"/>
        </w:rPr>
        <w:t xml:space="preserve">In one small community, the snowmobile trail never opened for the entire season—zero dollars in snowmobile revenue. Yet the town’s overall revenue was up 4.3% in Q1 because of deliberate diversification into event-driven winter programming, a creative district, and experience-based tourism. The town had even purchased a snowmaker to guarantee snow for key festival weekends, drawing 5,000–10,000 visitors per event regardless of natural conditions.</w:t>
      </w:r>
    </w:p>
    <w:p>
      <w:pPr>
        <w:spacing w:after="160"/>
      </w:pPr>
      <w:r>
        <w:rPr>
          <w:rFonts w:ascii="Arial" w:cs="Arial" w:eastAsia="Arial" w:hAnsi="Arial"/>
          <w:sz w:val="22"/>
          <w:szCs w:val="22"/>
        </w:rPr>
        <w:t xml:space="preserve">It was suggested that four years ago, the idea of hosting a major concert in a ski town during February would have been dismissed. Now it may be not just acceptable but necessary. Reducing dependence on chairlift riders requires fundamentally rethinking what winter means for a mountain economy.</w:t>
      </w:r>
    </w:p>
    <w:p>
      <w:pPr>
        <w:pStyle w:val="Heading2"/>
        <w:spacing w:after="140" w:before="280"/>
      </w:pPr>
      <w:r>
        <w:rPr>
          <w:rFonts w:ascii="Arial" w:cs="Arial" w:eastAsia="Arial" w:hAnsi="Arial"/>
          <w:b/>
          <w:bCs/>
          <w:color w:val="2E75B6"/>
          <w:sz w:val="24"/>
          <w:szCs w:val="24"/>
        </w:rPr>
        <w:t xml:space="preserve">Coal Transition and Energy</w:t>
      </w:r>
    </w:p>
    <w:p>
      <w:pPr>
        <w:spacing w:after="160"/>
      </w:pPr>
      <w:r>
        <w:rPr>
          <w:rFonts w:ascii="Arial" w:cs="Arial" w:eastAsia="Arial" w:hAnsi="Arial"/>
          <w:sz w:val="22"/>
          <w:szCs w:val="22"/>
        </w:rPr>
        <w:t xml:space="preserve">The coal transition in northwest Colorado was described as the most urgent fiscal story in the region. One community faces the loss of $55 million out of $58 million in total assessed value over the next 10 years as coal plants close. Without replacement revenue, basic services—including fire districts—face potential shutdown.</w:t>
      </w:r>
    </w:p>
    <w:p>
      <w:pPr>
        <w:spacing w:after="160"/>
      </w:pPr>
      <w:r>
        <w:rPr>
          <w:rFonts w:ascii="Arial" w:cs="Arial" w:eastAsia="Arial" w:hAnsi="Arial"/>
          <w:sz w:val="22"/>
          <w:szCs w:val="22"/>
        </w:rPr>
        <w:t xml:space="preserve">Despite this existential challenge, the same community was described as having the fastest-growing 25–45 demographic on the Western Slope, driven by relative housing affordability ($500,000–$650,000 compared to resort towns) and proximity to a major ski area. The community’s approach was characterized as entrepreneurial: act fast, skip studies when the need is obvious, and just build. A childcare center was established after a 30-minute phone survey confirmed every existing facility had a waitlist. No formal study was conducted.</w:t>
      </w:r>
    </w:p>
    <w:p>
      <w:pPr>
        <w:spacing w:after="160"/>
      </w:pPr>
      <w:r>
        <w:rPr>
          <w:rFonts w:ascii="Arial" w:cs="Arial" w:eastAsia="Arial" w:hAnsi="Arial"/>
          <w:sz w:val="22"/>
          <w:szCs w:val="22"/>
        </w:rPr>
        <w:t xml:space="preserve">Geothermal energy emerged as an unexpected highlight. One community described a 58-acre business park that will be fully heated and cooled by a geothermal network operated as a municipal utility. The choice was driven by pragmatism—natural gas line extension was too expensive—but turned into a strategic asset. The municipal utility model allows 15-year cost recovery on the installation, and the geothermal pipes carry an 80-year warranty. Colorado’s thermal energy bill passed the full state House on the same day as the summit.</w:t>
      </w:r>
    </w:p>
    <w:p>
      <w:pPr>
        <w:spacing w:after="160"/>
      </w:pPr>
      <w:r>
        <w:rPr>
          <w:rFonts w:ascii="Arial" w:cs="Arial" w:eastAsia="Arial" w:hAnsi="Arial"/>
          <w:sz w:val="22"/>
          <w:szCs w:val="22"/>
        </w:rPr>
        <w:t xml:space="preserve">Another community reported receiving a $1.73 million grant for geothermal exploration, suggesting the technology has potential across the region. The possibility of repurposing existing coal mine waste heat for community heating was also raised—using the legacy energy infrastructure rather than abandoning it entirely.</w:t>
      </w:r>
    </w:p>
    <w:p>
      <w:pPr>
        <w:spacing w:after="160"/>
      </w:pPr>
      <w:r>
        <w:rPr>
          <w:rFonts w:ascii="Arial" w:cs="Arial" w:eastAsia="Arial" w:hAnsi="Arial"/>
          <w:sz w:val="22"/>
          <w:szCs w:val="22"/>
        </w:rPr>
        <w:t xml:space="preserve">It was emphasized that the coal transition cannot be wished away or reversed by federal policy. The decision to close coal plants was made by private utilities based on economics, not by any administration. Communities were urged to accept the end date and focus on what they can control rather than hoping for a reprieve.</w:t>
      </w:r>
    </w:p>
    <w:p>
      <w:pPr>
        <w:pStyle w:val="Heading2"/>
        <w:spacing w:after="140" w:before="280"/>
      </w:pPr>
      <w:r>
        <w:rPr>
          <w:rFonts w:ascii="Arial" w:cs="Arial" w:eastAsia="Arial" w:hAnsi="Arial"/>
          <w:b/>
          <w:bCs/>
          <w:color w:val="2E75B6"/>
          <w:sz w:val="24"/>
          <w:szCs w:val="24"/>
        </w:rPr>
        <w:t xml:space="preserve">Transportation and Regional Infrastructure</w:t>
      </w:r>
    </w:p>
    <w:p>
      <w:pPr>
        <w:spacing w:after="160"/>
      </w:pPr>
      <w:r>
        <w:rPr>
          <w:rFonts w:ascii="Arial" w:cs="Arial" w:eastAsia="Arial" w:hAnsi="Arial"/>
          <w:sz w:val="22"/>
          <w:szCs w:val="22"/>
        </w:rPr>
        <w:t xml:space="preserve">Transportation was identified as one of the most critical infrastructure needs. In one community, 75% of the workforce commutes in from outside the area, all through a single corridor. Public transit expansion was named as the single most impactful action that could be taken in the next two years.</w:t>
      </w:r>
    </w:p>
    <w:p>
      <w:pPr>
        <w:spacing w:after="160"/>
      </w:pPr>
      <w:r>
        <w:rPr>
          <w:rFonts w:ascii="Arial" w:cs="Arial" w:eastAsia="Arial" w:hAnsi="Arial"/>
          <w:sz w:val="22"/>
          <w:szCs w:val="22"/>
        </w:rPr>
        <w:t xml:space="preserve">Highway safety was raised as an acute concern. Accidents on one major corridor increased 400% between 2020 and 2025, driven by the volume of workers and visitors commuting to resort areas. A Regional Transportation Authority was recently established in one county, with stakeholders doing the work without dedicated staff yet.</w:t>
      </w:r>
    </w:p>
    <w:p>
      <w:pPr>
        <w:spacing w:after="160"/>
      </w:pPr>
      <w:r>
        <w:rPr>
          <w:rFonts w:ascii="Arial" w:cs="Arial" w:eastAsia="Arial" w:hAnsi="Arial"/>
          <w:sz w:val="22"/>
          <w:szCs w:val="22"/>
        </w:rPr>
        <w:t xml:space="preserve">The broader point was made that local governments bear the infrastructure burden of serving tourism economies—roads, water systems, emergency services—while resort companies benefit from the visitor volume. Water was flagged as a particularly concerning issue: a bad snow year is also a bad water year, affecting municipal water systems, stream health, rafting, and fishing—all of which have economic implications beyond winter tourism.</w:t>
      </w:r>
    </w:p>
    <w:p>
      <w:pPr>
        <w:pStyle w:val="Heading2"/>
        <w:spacing w:after="140" w:before="280"/>
      </w:pPr>
      <w:r>
        <w:rPr>
          <w:rFonts w:ascii="Arial" w:cs="Arial" w:eastAsia="Arial" w:hAnsi="Arial"/>
          <w:b/>
          <w:bCs/>
          <w:color w:val="2E75B6"/>
          <w:sz w:val="24"/>
          <w:szCs w:val="24"/>
        </w:rPr>
        <w:t xml:space="preserve">Civic Engagement and Young Professional Retention</w:t>
      </w:r>
    </w:p>
    <w:p>
      <w:pPr>
        <w:spacing w:after="160"/>
      </w:pPr>
      <w:r>
        <w:rPr>
          <w:rFonts w:ascii="Arial" w:cs="Arial" w:eastAsia="Arial" w:hAnsi="Arial"/>
          <w:sz w:val="22"/>
          <w:szCs w:val="22"/>
        </w:rPr>
        <w:t xml:space="preserve">A recurring theme was the gap in civic leadership between established community leaders and the next generation. The room acknowledged this as a national problem, but several concrete local solutions were shared.</w:t>
      </w:r>
    </w:p>
    <w:p>
      <w:pPr>
        <w:spacing w:after="160"/>
      </w:pPr>
      <w:r>
        <w:rPr>
          <w:rFonts w:ascii="Arial" w:cs="Arial" w:eastAsia="Arial" w:hAnsi="Arial"/>
          <w:sz w:val="22"/>
          <w:szCs w:val="22"/>
        </w:rPr>
        <w:t xml:space="preserve">One community adopted a requirement that every board and commission must include at least one member under the age of 18. This was described as highly successful, with engaged young people bringing fresh perspectives to governance.</w:t>
      </w:r>
    </w:p>
    <w:p>
      <w:pPr>
        <w:spacing w:after="160"/>
      </w:pPr>
      <w:r>
        <w:rPr>
          <w:rFonts w:ascii="Arial" w:cs="Arial" w:eastAsia="Arial" w:hAnsi="Arial"/>
          <w:sz w:val="22"/>
          <w:szCs w:val="22"/>
        </w:rPr>
        <w:t xml:space="preserve">A young professionals program was redesigned based on the observation that today’s young professionals want leadership development and career advancement, not just social events. A practical skills series was launched offering sessions on topics like homebuying and health insurance for $20 per session, using intentionally irreverent branding to attract younger participants.</w:t>
      </w:r>
    </w:p>
    <w:p>
      <w:pPr>
        <w:spacing w:after="160"/>
      </w:pPr>
      <w:r>
        <w:rPr>
          <w:rFonts w:ascii="Arial" w:cs="Arial" w:eastAsia="Arial" w:hAnsi="Arial"/>
          <w:sz w:val="22"/>
          <w:szCs w:val="22"/>
        </w:rPr>
        <w:t xml:space="preserve">The fundamental challenge was described starkly: housing listings show three options, all $3,000 for a shared apartment. Young professionals take one look and leave. Those who stay may be living in their cars. The ones who do stay and try to engage civically face council meetings scheduled during work hours and dominated by long-established residents. A creative civic engagement organization from Denver was referenced as a model for innovative approaches—events like “tax day bingo” and “picnics in cemeteries” that make local government accessible and appealing to younger demographics.</w:t>
      </w:r>
    </w:p>
    <w:p>
      <w:pPr>
        <w:spacing w:after="160"/>
      </w:pPr>
      <w:r>
        <w:rPr>
          <w:rFonts w:ascii="Arial" w:cs="Arial" w:eastAsia="Arial" w:hAnsi="Arial"/>
          <w:sz w:val="22"/>
          <w:szCs w:val="22"/>
        </w:rPr>
        <w:t xml:space="preserve">The suggestion was made that meeting times, formats, and channels all need to adapt. People working two or more jobs cannot attend traditional evening meetings. Micro-engagement formats and asynchronous participation tools are needed to reach the workforce that most needs representation in civic decisions.</w:t>
      </w:r>
    </w:p>
    <w:p>
      <w:pPr>
        <w:pStyle w:val="Heading2"/>
        <w:spacing w:after="140" w:before="280"/>
      </w:pPr>
      <w:r>
        <w:rPr>
          <w:rFonts w:ascii="Arial" w:cs="Arial" w:eastAsia="Arial" w:hAnsi="Arial"/>
          <w:b/>
          <w:bCs/>
          <w:color w:val="2E75B6"/>
          <w:sz w:val="24"/>
          <w:szCs w:val="24"/>
        </w:rPr>
        <w:t xml:space="preserve">Destination Stewardship and Small Business</w:t>
      </w:r>
    </w:p>
    <w:p>
      <w:pPr>
        <w:spacing w:after="160"/>
      </w:pPr>
      <w:r>
        <w:rPr>
          <w:rFonts w:ascii="Arial" w:cs="Arial" w:eastAsia="Arial" w:hAnsi="Arial"/>
          <w:sz w:val="22"/>
          <w:szCs w:val="22"/>
        </w:rPr>
        <w:t xml:space="preserve">The conversation around tourism management revealed a nuanced tension. It was observed that resort companies increasingly market passes, not towns. Town names are disappearing from resort marketing. The corporate strategy has decoupled from community welfare. This means the economic development burden has shifted to local governments and small businesses.</w:t>
      </w:r>
    </w:p>
    <w:p>
      <w:pPr>
        <w:spacing w:after="160"/>
      </w:pPr>
      <w:r>
        <w:rPr>
          <w:rFonts w:ascii="Arial" w:cs="Arial" w:eastAsia="Arial" w:hAnsi="Arial"/>
          <w:sz w:val="22"/>
          <w:szCs w:val="22"/>
        </w:rPr>
        <w:t xml:space="preserve">Small businesses were described as the human-scale economy that actually constitutes the community fabric. The restaurants, coffee shops, and independent retailers are run by residents who are also community members, volunteers, and parents. When a ski season is bad, these businesses absorb the impact that resort companies have insulated themselves from. Shoulder season closures, commercial rent pressures, and a 5% vacancy building standard were cited as specific challenges.</w:t>
      </w:r>
    </w:p>
    <w:p>
      <w:pPr>
        <w:spacing w:after="160"/>
      </w:pPr>
      <w:r>
        <w:rPr>
          <w:rFonts w:ascii="Arial" w:cs="Arial" w:eastAsia="Arial" w:hAnsi="Arial"/>
          <w:sz w:val="22"/>
          <w:szCs w:val="22"/>
        </w:rPr>
        <w:t xml:space="preserve">The concept of “hybrid businesses”—operations that adapt their offering across seasons—was raised as an idea worth developing further. Events were highlighted as a major economic driver, with one community investing $3 million annually in event programming. The point was made that events are weather-proof: if an event is on the calendar, people come regardless of snow conditions.</w:t>
      </w:r>
    </w:p>
    <w:p>
      <w:pPr>
        <w:spacing w:after="160"/>
      </w:pPr>
      <w:r>
        <w:rPr>
          <w:rFonts w:ascii="Arial" w:cs="Arial" w:eastAsia="Arial" w:hAnsi="Arial"/>
          <w:sz w:val="22"/>
          <w:szCs w:val="22"/>
        </w:rPr>
        <w:t xml:space="preserve">It was emphasized that destination management work is already well underway across the region, particularly since COVID. The draft strategy should not read as though these are new ideas—most communities represented have been actively managing their tourism economies for years. The strategies should build on existing momentum rather than imply a starting point.</w:t>
      </w:r>
    </w:p>
    <w:p>
      <w:pPr>
        <w:pStyle w:val="Heading2"/>
        <w:spacing w:after="140" w:before="280"/>
      </w:pPr>
      <w:r>
        <w:rPr>
          <w:rFonts w:ascii="Arial" w:cs="Arial" w:eastAsia="Arial" w:hAnsi="Arial"/>
          <w:b/>
          <w:bCs/>
          <w:color w:val="2E75B6"/>
          <w:sz w:val="24"/>
          <w:szCs w:val="24"/>
        </w:rPr>
        <w:t xml:space="preserve">Regional Coordination: The Persistent Gap</w:t>
      </w:r>
    </w:p>
    <w:p>
      <w:pPr>
        <w:spacing w:after="160"/>
      </w:pPr>
      <w:r>
        <w:rPr>
          <w:rFonts w:ascii="Arial" w:cs="Arial" w:eastAsia="Arial" w:hAnsi="Arial"/>
          <w:sz w:val="22"/>
          <w:szCs w:val="22"/>
        </w:rPr>
        <w:t xml:space="preserve">Perhaps the most candid conversation of the day was about the gap between regional coordination rhetoric and practice. It was observed that communities tend to cannibalize each other’s programs rather than asking where investments make the most geographic sense. Housing gets built where local politics allow it rather than where regional infrastructure supports it. Light industrial development makes sense in some communities but not in resort cores—yet every community pursues its own economic development in isolation.</w:t>
      </w:r>
    </w:p>
    <w:p>
      <w:pPr>
        <w:spacing w:after="160"/>
      </w:pPr>
      <w:r>
        <w:rPr>
          <w:rFonts w:ascii="Arial" w:cs="Arial" w:eastAsia="Arial" w:hAnsi="Arial"/>
          <w:sz w:val="22"/>
          <w:szCs w:val="22"/>
        </w:rPr>
        <w:t xml:space="preserve">The counter-observation was made that the region is actually well-positioned for coordination because it has the Council of Governments (COG)—a governance structure many peer regions lack. The five counties share significant commonality in their challenges, even accounting for Jackson County’s unique rural character. The COG and the CEDS itself could serve as the coordinating framework that aligns local plans under shared regional goals.</w:t>
      </w:r>
    </w:p>
    <w:p>
      <w:pPr>
        <w:spacing w:after="160"/>
      </w:pPr>
      <w:r>
        <w:rPr>
          <w:rFonts w:ascii="Arial" w:cs="Arial" w:eastAsia="Arial" w:hAnsi="Arial"/>
          <w:sz w:val="22"/>
          <w:szCs w:val="22"/>
        </w:rPr>
        <w:t xml:space="preserve">The idea of inventorying all existing subarea strategic plans and mapping their alignment was suggested as a concrete first step. Every community has plans; few communities know what their neighbors’ plans say. A shared understanding of where plans already align—and where they diverge—would make regional coordination actionable rather than aspirational.</w:t>
      </w:r>
    </w:p>
    <w:p>
      <w:pPr>
        <w:spacing w:after="160"/>
      </w:pPr>
      <w:r>
        <w:rPr>
          <w:rFonts w:ascii="Arial" w:cs="Arial" w:eastAsia="Arial" w:hAnsi="Arial"/>
          <w:sz w:val="22"/>
          <w:szCs w:val="22"/>
        </w:rPr>
        <w:t xml:space="preserve">The need for a financing and grant matrix was also raised: once strategies are identified, communities need to know what funding sources are available and how to access them. Tying the CEDS directly to grant eligibility—its original federal purpose—would make it a practical tool rather than a shelf document.</w:t>
      </w:r>
    </w:p>
    <w:p>
      <w:pPr>
        <w:pStyle w:val="Heading2"/>
        <w:spacing w:after="140" w:before="280"/>
      </w:pPr>
      <w:r>
        <w:rPr>
          <w:rFonts w:ascii="Arial" w:cs="Arial" w:eastAsia="Arial" w:hAnsi="Arial"/>
          <w:b/>
          <w:bCs/>
          <w:color w:val="2E75B6"/>
          <w:sz w:val="24"/>
          <w:szCs w:val="24"/>
        </w:rPr>
        <w:t xml:space="preserve">A Best Practices Library</w:t>
      </w:r>
    </w:p>
    <w:p>
      <w:pPr>
        <w:spacing w:after="160"/>
      </w:pPr>
      <w:r>
        <w:rPr>
          <w:rFonts w:ascii="Arial" w:cs="Arial" w:eastAsia="Arial" w:hAnsi="Arial"/>
          <w:sz w:val="22"/>
          <w:szCs w:val="22"/>
        </w:rPr>
        <w:t xml:space="preserve">One of the most enthusiastically received ideas of the day was the creation of a cited library of best practices. Throughout the discussion, programs were referenced that drew visible interest from other communities—but the details disappeared into the flow of conversation. The suggestion was made to build a directory organized by topic where any community can look up a program, see what it does, learn who runs it, and know who to call. The goal is to turn today’s conversation into something any community can act on tomorrow by calling a peer and saying, “Tell me more about your program.”</w:t>
      </w:r>
    </w:p>
    <w:p>
      <w:pPr>
        <w:pStyle w:val="Heading2"/>
        <w:spacing w:after="140" w:before="280"/>
      </w:pPr>
      <w:r>
        <w:rPr>
          <w:rFonts w:ascii="Arial" w:cs="Arial" w:eastAsia="Arial" w:hAnsi="Arial"/>
          <w:b/>
          <w:bCs/>
          <w:color w:val="2E75B6"/>
          <w:sz w:val="24"/>
          <w:szCs w:val="24"/>
        </w:rPr>
        <w:t xml:space="preserve">Water and the Headwaters Identity</w:t>
      </w:r>
    </w:p>
    <w:p>
      <w:pPr>
        <w:spacing w:after="160"/>
      </w:pPr>
      <w:r>
        <w:rPr>
          <w:rFonts w:ascii="Arial" w:cs="Arial" w:eastAsia="Arial" w:hAnsi="Arial"/>
          <w:sz w:val="22"/>
          <w:szCs w:val="22"/>
        </w:rPr>
        <w:t xml:space="preserve">In closing remarks, the region’s identity as Colorado’s headwaters was raised as both a responsibility and a strategic asset. Seven states depend on water originating in this region. One community described managing surface water quality even though it doesn’t directly affect their own groundwater supply—purely because it affects everyone downstream. This stewardship identity was proposed as a framing that elevates the region’s environmental work from local concern to continental significance.</w:t>
      </w:r>
    </w:p>
    <w:p>
      <w:pPr>
        <w:spacing w:after="160"/>
      </w:pPr>
      <w:r>
        <w:rPr>
          <w:rFonts w:ascii="Arial" w:cs="Arial" w:eastAsia="Arial" w:hAnsi="Arial"/>
          <w:sz w:val="22"/>
          <w:szCs w:val="22"/>
        </w:rPr>
        <w:t xml:space="preserve">Colorado’s unique state-level environmental protections were noted as a strength—even as federal environmental policy shifts, the state maintains frameworks that support water quality, forest health, and climate adaptation. The region operates within a state that actively supports environmental stewardship, which gives local efforts a policy foundation that many peer regions lack.</w:t>
      </w:r>
    </w:p>
    <w:p>
      <w:pPr>
        <w:spacing w:after="160"/>
      </w:pPr>
      <w:r>
        <w:rPr>
          <w:rFonts w:ascii="Arial" w:cs="Arial" w:eastAsia="Arial" w:hAnsi="Arial"/>
          <w:sz w:val="22"/>
          <w:szCs w:val="22"/>
        </w:rPr>
        <w:t xml:space="preserve">The request was made to keep the CEDS hyper-focused on the region’s unique assets while using international research as inspiration. The headwaters responsibility, the specific mix of resort and rural economies, and Colorado’s regulatory environment are things no peer region shares. The strategy should lead with what makes northwest Colorado singular.</w:t>
      </w:r>
    </w:p>
    <w:p>
      <w:r>
        <w:br w:type="page"/>
      </w:r>
    </w:p>
    <w:p>
      <w:pPr>
        <w:pStyle w:val="Heading1"/>
        <w:spacing w:after="200" w:before="360"/>
      </w:pPr>
      <w:r>
        <w:rPr>
          <w:rFonts w:ascii="Arial" w:cs="Arial" w:eastAsia="Arial" w:hAnsi="Arial"/>
          <w:b/>
          <w:bCs/>
          <w:color w:val="1F4E79"/>
          <w:sz w:val="30"/>
          <w:szCs w:val="30"/>
        </w:rPr>
        <w:t xml:space="preserve">Outcomes and Next Steps</w:t>
      </w:r>
    </w:p>
    <w:p>
      <w:pPr>
        <w:spacing w:after="160"/>
      </w:pPr>
      <w:r>
        <w:rPr>
          <w:rFonts w:ascii="Arial" w:cs="Arial" w:eastAsia="Arial" w:hAnsi="Arial"/>
          <w:sz w:val="22"/>
          <w:szCs w:val="22"/>
        </w:rPr>
        <w:t xml:space="preserve">The summit produced a working draft CEDS document (v3) that was shared with all attendees in real time via Google Drive. The document proposes five strategic pillars aligned with the Colorado State CEDS:</w:t>
      </w:r>
    </w:p>
    <w:p>
      <w:pPr>
        <w:spacing w:after="160"/>
      </w:pPr>
      <w:r>
        <w:rPr>
          <w:rFonts w:ascii="Arial" w:cs="Arial" w:eastAsia="Arial" w:hAnsi="Arial"/>
          <w:b/>
          <w:bCs/>
          <w:sz w:val="22"/>
          <w:szCs w:val="22"/>
        </w:rPr>
        <w:t xml:space="preserve">Pillar 1: </w:t>
      </w:r>
      <w:r>
        <w:rPr>
          <w:rFonts w:ascii="Arial" w:cs="Arial" w:eastAsia="Arial" w:hAnsi="Arial"/>
          <w:sz w:val="22"/>
          <w:szCs w:val="22"/>
        </w:rPr>
        <w:t xml:space="preserve">Housing &amp; Community Stability</w:t>
      </w:r>
    </w:p>
    <w:p>
      <w:pPr>
        <w:spacing w:after="160"/>
      </w:pPr>
      <w:r>
        <w:rPr>
          <w:rFonts w:ascii="Arial" w:cs="Arial" w:eastAsia="Arial" w:hAnsi="Arial"/>
          <w:b/>
          <w:bCs/>
          <w:sz w:val="22"/>
          <w:szCs w:val="22"/>
        </w:rPr>
        <w:t xml:space="preserve">Pillar 2: </w:t>
      </w:r>
      <w:r>
        <w:rPr>
          <w:rFonts w:ascii="Arial" w:cs="Arial" w:eastAsia="Arial" w:hAnsi="Arial"/>
          <w:sz w:val="22"/>
          <w:szCs w:val="22"/>
        </w:rPr>
        <w:t xml:space="preserve">Workforce &amp; Talent Pipeline</w:t>
      </w:r>
    </w:p>
    <w:p>
      <w:pPr>
        <w:spacing w:after="160"/>
      </w:pPr>
      <w:r>
        <w:rPr>
          <w:rFonts w:ascii="Arial" w:cs="Arial" w:eastAsia="Arial" w:hAnsi="Arial"/>
          <w:b/>
          <w:bCs/>
          <w:sz w:val="22"/>
          <w:szCs w:val="22"/>
        </w:rPr>
        <w:t xml:space="preserve">Pillar 3: </w:t>
      </w:r>
      <w:r>
        <w:rPr>
          <w:rFonts w:ascii="Arial" w:cs="Arial" w:eastAsia="Arial" w:hAnsi="Arial"/>
          <w:sz w:val="22"/>
          <w:szCs w:val="22"/>
        </w:rPr>
        <w:t xml:space="preserve">Economic Diversification &amp; Transition</w:t>
      </w:r>
    </w:p>
    <w:p>
      <w:pPr>
        <w:spacing w:after="160"/>
      </w:pPr>
      <w:r>
        <w:rPr>
          <w:rFonts w:ascii="Arial" w:cs="Arial" w:eastAsia="Arial" w:hAnsi="Arial"/>
          <w:b/>
          <w:bCs/>
          <w:sz w:val="22"/>
          <w:szCs w:val="22"/>
        </w:rPr>
        <w:t xml:space="preserve">Pillar 4: </w:t>
      </w:r>
      <w:r>
        <w:rPr>
          <w:rFonts w:ascii="Arial" w:cs="Arial" w:eastAsia="Arial" w:hAnsi="Arial"/>
          <w:sz w:val="22"/>
          <w:szCs w:val="22"/>
        </w:rPr>
        <w:t xml:space="preserve">Destination Stewardship</w:t>
      </w:r>
    </w:p>
    <w:p>
      <w:pPr>
        <w:spacing w:after="160"/>
      </w:pPr>
      <w:r>
        <w:rPr>
          <w:rFonts w:ascii="Arial" w:cs="Arial" w:eastAsia="Arial" w:hAnsi="Arial"/>
          <w:b/>
          <w:bCs/>
          <w:sz w:val="22"/>
          <w:szCs w:val="22"/>
        </w:rPr>
        <w:t xml:space="preserve">Pillar 5: </w:t>
      </w:r>
      <w:r>
        <w:rPr>
          <w:rFonts w:ascii="Arial" w:cs="Arial" w:eastAsia="Arial" w:hAnsi="Arial"/>
          <w:sz w:val="22"/>
          <w:szCs w:val="22"/>
        </w:rPr>
        <w:t xml:space="preserve">Regional Infrastructure &amp; Governance</w:t>
      </w:r>
    </w:p>
    <w:p>
      <w:pPr>
        <w:spacing w:after="80"/>
      </w:pPr>
    </w:p>
    <w:p>
      <w:pPr>
        <w:spacing w:after="160"/>
      </w:pPr>
      <w:r>
        <w:rPr>
          <w:rFonts w:ascii="Arial" w:cs="Arial" w:eastAsia="Arial" w:hAnsi="Arial"/>
          <w:sz w:val="22"/>
          <w:szCs w:val="22"/>
        </w:rPr>
        <w:t xml:space="preserve">This five-pillar structure evolved during the summit itself. The original draft used four pillars from the 2021–2026 CEDS (Workforce, Economy, Community, Resiliency). Based on the day’s discussion, housing was elevated to its own pillar (it was too large and cross-cutting to nest elsewhere), and resilience was reconceived as a cross-cutting lens applied to every pillar rather than standing alone.</w:t>
      </w:r>
    </w:p>
    <w:p>
      <w:pPr>
        <w:spacing w:after="160"/>
      </w:pPr>
      <w:r>
        <w:rPr>
          <w:rFonts w:ascii="Arial" w:cs="Arial" w:eastAsia="Arial" w:hAnsi="Arial"/>
          <w:sz w:val="22"/>
          <w:szCs w:val="22"/>
        </w:rPr>
        <w:t xml:space="preserve">The following next steps were identified:</w:t>
      </w:r>
    </w:p>
    <w:p>
      <w:pPr>
        <w:spacing w:after="160"/>
      </w:pPr>
      <w:r>
        <w:rPr>
          <w:rFonts w:ascii="Arial" w:cs="Arial" w:eastAsia="Arial" w:hAnsi="Arial"/>
          <w:b/>
          <w:bCs/>
          <w:sz w:val="22"/>
          <w:szCs w:val="22"/>
        </w:rPr>
        <w:t xml:space="preserve">Comment Period: </w:t>
      </w:r>
      <w:r>
        <w:rPr>
          <w:rFonts w:ascii="Arial" w:cs="Arial" w:eastAsia="Arial" w:hAnsi="Arial"/>
          <w:sz w:val="22"/>
          <w:szCs w:val="22"/>
        </w:rPr>
        <w:t xml:space="preserve">All summit participants are encouraged to continue commenting on the shared working draft document. Specific feedback on strategies, actions, and ownership is most valuable.</w:t>
      </w:r>
    </w:p>
    <w:p>
      <w:pPr>
        <w:spacing w:after="160"/>
      </w:pPr>
      <w:r>
        <w:rPr>
          <w:rFonts w:ascii="Arial" w:cs="Arial" w:eastAsia="Arial" w:hAnsi="Arial"/>
          <w:b/>
          <w:bCs/>
          <w:sz w:val="22"/>
          <w:szCs w:val="22"/>
        </w:rPr>
        <w:t xml:space="preserve">Best Practices Library: </w:t>
      </w:r>
      <w:r>
        <w:rPr>
          <w:rFonts w:ascii="Arial" w:cs="Arial" w:eastAsia="Arial" w:hAnsi="Arial"/>
          <w:sz w:val="22"/>
          <w:szCs w:val="22"/>
        </w:rPr>
        <w:t xml:space="preserve">A cited directory of programs referenced during the summit will be compiled so communities can look up and contact peers about specific initiatives.</w:t>
      </w:r>
    </w:p>
    <w:p>
      <w:pPr>
        <w:spacing w:after="160"/>
      </w:pPr>
      <w:r>
        <w:rPr>
          <w:rFonts w:ascii="Arial" w:cs="Arial" w:eastAsia="Arial" w:hAnsi="Arial"/>
          <w:b/>
          <w:bCs/>
          <w:sz w:val="22"/>
          <w:szCs w:val="22"/>
        </w:rPr>
        <w:t xml:space="preserve">Strategic Plan Alignment: </w:t>
      </w:r>
      <w:r>
        <w:rPr>
          <w:rFonts w:ascii="Arial" w:cs="Arial" w:eastAsia="Arial" w:hAnsi="Arial"/>
          <w:sz w:val="22"/>
          <w:szCs w:val="22"/>
        </w:rPr>
        <w:t xml:space="preserve">An inventory of all existing subarea plans across the five counties will be mapped against the CEDS pillars to identify alignment and gaps.</w:t>
      </w:r>
    </w:p>
    <w:p>
      <w:pPr>
        <w:spacing w:after="160"/>
      </w:pPr>
      <w:r>
        <w:rPr>
          <w:rFonts w:ascii="Arial" w:cs="Arial" w:eastAsia="Arial" w:hAnsi="Arial"/>
          <w:b/>
          <w:bCs/>
          <w:sz w:val="22"/>
          <w:szCs w:val="22"/>
        </w:rPr>
        <w:t xml:space="preserve">Financing Matrix: </w:t>
      </w:r>
      <w:r>
        <w:rPr>
          <w:rFonts w:ascii="Arial" w:cs="Arial" w:eastAsia="Arial" w:hAnsi="Arial"/>
          <w:sz w:val="22"/>
          <w:szCs w:val="22"/>
        </w:rPr>
        <w:t xml:space="preserve">Each strategy will be mapped to eligible federal, state, and local funding sources to make the CEDS a practical tool for grant applications.</w:t>
      </w:r>
    </w:p>
    <w:p>
      <w:pPr>
        <w:spacing w:after="160"/>
      </w:pPr>
      <w:r>
        <w:rPr>
          <w:rFonts w:ascii="Arial" w:cs="Arial" w:eastAsia="Arial" w:hAnsi="Arial"/>
          <w:b/>
          <w:bCs/>
          <w:sz w:val="22"/>
          <w:szCs w:val="22"/>
        </w:rPr>
        <w:t xml:space="preserve">Owner Assignment: </w:t>
      </w:r>
      <w:r>
        <w:rPr>
          <w:rFonts w:ascii="Arial" w:cs="Arial" w:eastAsia="Arial" w:hAnsi="Arial"/>
          <w:sz w:val="22"/>
          <w:szCs w:val="22"/>
        </w:rPr>
        <w:t xml:space="preserve">Placeholder owners in the working draft need to be replaced with specific organizations and individuals who will champion each strategy.</w:t>
      </w:r>
    </w:p>
    <w:p>
      <w:pPr>
        <w:spacing w:after="160"/>
      </w:pPr>
      <w:r>
        <w:rPr>
          <w:rFonts w:ascii="Arial" w:cs="Arial" w:eastAsia="Arial" w:hAnsi="Arial"/>
          <w:b/>
          <w:bCs/>
          <w:sz w:val="22"/>
          <w:szCs w:val="22"/>
        </w:rPr>
        <w:t xml:space="preserve">Draft CEDS Completion: </w:t>
      </w:r>
      <w:r>
        <w:rPr>
          <w:rFonts w:ascii="Arial" w:cs="Arial" w:eastAsia="Arial" w:hAnsi="Arial"/>
          <w:sz w:val="22"/>
          <w:szCs w:val="22"/>
        </w:rPr>
        <w:t xml:space="preserve">NWCCOG EDD staff will use the working draft as the foundation for the formal CEDS document, due before the September 30, 2026 expiration of the current plan.</w:t>
      </w:r>
    </w:p>
    <w:p>
      <w:pPr>
        <w:spacing w:after="80"/>
      </w:pPr>
    </w:p>
    <w:p>
      <w:pPr>
        <w:spacing w:after="160"/>
      </w:pPr>
      <w:r>
        <w:rPr>
          <w:rFonts w:ascii="Arial" w:cs="Arial" w:eastAsia="Arial" w:hAnsi="Arial"/>
          <w:sz w:val="22"/>
          <w:szCs w:val="22"/>
        </w:rPr>
        <w:t xml:space="preserve">The summit demonstrated that the region’s communities are doing more than their strategic documents capture, that significant innovation is happening at the local level, and that the primary gap is not in ideas or effort but in regional coordination and the sharing of what works. The CEDS renewal process is an opportunity to close that gap.</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NWCCOG Economic Development Summit — Meeting Summary — May 7,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4E79"/>
      <w:sz w:val="30"/>
      <w:szCs w:val="30"/>
    </w:rPr>
  </w:style>
  <w:style w:type="paragraph" w:styleId="Heading2">
    <w:name w:val="Heading 2"/>
    <w:basedOn w:val="Normal"/>
    <w:next w:val="Normal"/>
    <w:qFormat/>
    <w:pPr>
      <w:spacing w:after="140" w:before="28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2026-05-08T01:11:54.379Z</dcterms:created>
  <dcterms:modified xsi:type="dcterms:W3CDTF">2026-05-08T01:11:54.382Z</dcterms:modified>
</cp:coreProperties>
</file>

<file path=docProps/custom.xml><?xml version="1.0" encoding="utf-8"?>
<Properties xmlns="http://schemas.openxmlformats.org/officeDocument/2006/custom-properties" xmlns:vt="http://schemas.openxmlformats.org/officeDocument/2006/docPropsVTypes"/>
</file>